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2622" w14:textId="0312C5D0" w:rsidR="00B3681A" w:rsidRPr="00D45042" w:rsidRDefault="002111B0" w:rsidP="00FE6683">
      <w:pPr>
        <w:pStyle w:val="Heading1"/>
        <w:rPr>
          <w:sz w:val="32"/>
          <w:szCs w:val="32"/>
        </w:rPr>
      </w:pPr>
      <w:r w:rsidRPr="00D45042">
        <w:rPr>
          <w:b/>
          <w:bCs/>
          <w:color w:val="auto"/>
          <w:sz w:val="32"/>
          <w:szCs w:val="32"/>
        </w:rPr>
        <w:t>Equity Research Note | Infosys Ltd.</w:t>
      </w:r>
      <w:r w:rsidR="00B3681A" w:rsidRPr="00D45042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B3681A" w14:paraId="04399994" w14:textId="77777777" w:rsidTr="00FE6683">
        <w:tc>
          <w:tcPr>
            <w:tcW w:w="2254" w:type="dxa"/>
            <w:shd w:val="clear" w:color="auto" w:fill="0F4761" w:themeFill="accent1" w:themeFillShade="BF"/>
          </w:tcPr>
          <w:p w14:paraId="7D5F5A94" w14:textId="3D4D5A33" w:rsidR="00B3681A" w:rsidRPr="00B3681A" w:rsidRDefault="00B3681A" w:rsidP="00B3681A">
            <w:pPr>
              <w:jc w:val="center"/>
              <w:rPr>
                <w:b/>
                <w:bCs/>
              </w:rPr>
            </w:pPr>
            <w:r w:rsidRPr="00B3681A">
              <w:rPr>
                <w:b/>
                <w:bCs/>
              </w:rPr>
              <w:t>Recommendation</w:t>
            </w:r>
          </w:p>
        </w:tc>
        <w:tc>
          <w:tcPr>
            <w:tcW w:w="2419" w:type="dxa"/>
            <w:shd w:val="clear" w:color="auto" w:fill="0F4761" w:themeFill="accent1" w:themeFillShade="BF"/>
          </w:tcPr>
          <w:p w14:paraId="4E22DB9F" w14:textId="563AD2F9" w:rsidR="00B3681A" w:rsidRPr="00B3681A" w:rsidRDefault="00FE6683" w:rsidP="00B36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Fair Value Per Share</w:t>
            </w:r>
          </w:p>
        </w:tc>
        <w:tc>
          <w:tcPr>
            <w:tcW w:w="2089" w:type="dxa"/>
            <w:shd w:val="clear" w:color="auto" w:fill="0F4761" w:themeFill="accent1" w:themeFillShade="BF"/>
          </w:tcPr>
          <w:p w14:paraId="2A504658" w14:textId="296B958A" w:rsidR="00B3681A" w:rsidRPr="00B3681A" w:rsidRDefault="00B3681A" w:rsidP="00B3681A">
            <w:pPr>
              <w:jc w:val="center"/>
              <w:rPr>
                <w:b/>
                <w:bCs/>
              </w:rPr>
            </w:pPr>
            <w:r w:rsidRPr="00B3681A">
              <w:rPr>
                <w:b/>
                <w:bCs/>
              </w:rPr>
              <w:t xml:space="preserve">Current </w:t>
            </w:r>
            <w:r w:rsidR="00FE6683">
              <w:rPr>
                <w:b/>
                <w:bCs/>
              </w:rPr>
              <w:t>Price</w:t>
            </w:r>
          </w:p>
        </w:tc>
        <w:tc>
          <w:tcPr>
            <w:tcW w:w="2254" w:type="dxa"/>
            <w:shd w:val="clear" w:color="auto" w:fill="0F4761" w:themeFill="accent1" w:themeFillShade="BF"/>
          </w:tcPr>
          <w:p w14:paraId="64A760CE" w14:textId="73B64DD4" w:rsidR="00B3681A" w:rsidRPr="00B3681A" w:rsidRDefault="00FE6683" w:rsidP="00B36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Implied Return</w:t>
            </w:r>
          </w:p>
        </w:tc>
      </w:tr>
      <w:tr w:rsidR="00B3681A" w14:paraId="2A2E7C0B" w14:textId="77777777" w:rsidTr="00FE6683">
        <w:tc>
          <w:tcPr>
            <w:tcW w:w="2254" w:type="dxa"/>
            <w:shd w:val="clear" w:color="auto" w:fill="FFC000"/>
          </w:tcPr>
          <w:p w14:paraId="30C574F8" w14:textId="42A34E40" w:rsidR="00B3681A" w:rsidRPr="00B3681A" w:rsidRDefault="00B3681A" w:rsidP="00B3681A">
            <w:pPr>
              <w:jc w:val="center"/>
              <w:rPr>
                <w:b/>
                <w:bCs/>
              </w:rPr>
            </w:pPr>
            <w:r w:rsidRPr="00B3681A">
              <w:rPr>
                <w:b/>
                <w:bCs/>
              </w:rPr>
              <w:t>HOLD</w:t>
            </w:r>
          </w:p>
        </w:tc>
        <w:tc>
          <w:tcPr>
            <w:tcW w:w="2419" w:type="dxa"/>
          </w:tcPr>
          <w:p w14:paraId="22251C65" w14:textId="43D9723D" w:rsidR="00B3681A" w:rsidRDefault="00B3681A" w:rsidP="00B3681A">
            <w:pPr>
              <w:jc w:val="center"/>
            </w:pPr>
            <w:r w:rsidRPr="00B3681A">
              <w:t>₹1,000.85</w:t>
            </w:r>
          </w:p>
        </w:tc>
        <w:tc>
          <w:tcPr>
            <w:tcW w:w="2089" w:type="dxa"/>
          </w:tcPr>
          <w:p w14:paraId="04BF216B" w14:textId="2DF56EEF" w:rsidR="00B3681A" w:rsidRDefault="00B3681A" w:rsidP="00B3681A">
            <w:pPr>
              <w:jc w:val="center"/>
            </w:pPr>
            <w:r w:rsidRPr="00B3681A">
              <w:t>₹1,035.00</w:t>
            </w:r>
          </w:p>
        </w:tc>
        <w:tc>
          <w:tcPr>
            <w:tcW w:w="2254" w:type="dxa"/>
          </w:tcPr>
          <w:p w14:paraId="3371A75D" w14:textId="212776D9" w:rsidR="00B3681A" w:rsidRDefault="00B3681A" w:rsidP="00B3681A">
            <w:pPr>
              <w:jc w:val="center"/>
            </w:pPr>
            <w:r w:rsidRPr="00B3681A">
              <w:t>-3.3%</w:t>
            </w:r>
          </w:p>
        </w:tc>
      </w:tr>
    </w:tbl>
    <w:p w14:paraId="6CEA9A19" w14:textId="75351C79" w:rsidR="00B3681A" w:rsidRPr="00B55A0F" w:rsidRDefault="00B3681A" w:rsidP="00B3681A">
      <w:pPr>
        <w:pStyle w:val="Heading2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B55A0F">
        <w:rPr>
          <w:b/>
          <w:bCs/>
          <w:sz w:val="28"/>
          <w:szCs w:val="28"/>
        </w:rPr>
        <w:t>Investment Summary</w:t>
      </w:r>
    </w:p>
    <w:p w14:paraId="09C2082A" w14:textId="4CD47472" w:rsidR="00B3681A" w:rsidRPr="00D45042" w:rsidRDefault="00B3681A" w:rsidP="00B3681A">
      <w:pPr>
        <w:rPr>
          <w:sz w:val="22"/>
          <w:szCs w:val="22"/>
        </w:rPr>
      </w:pPr>
      <w:r w:rsidRPr="00D45042">
        <w:rPr>
          <w:sz w:val="22"/>
          <w:szCs w:val="22"/>
        </w:rPr>
        <w:t xml:space="preserve">We initiate coverage on Infosys Ltd. with a </w:t>
      </w:r>
      <w:r w:rsidRPr="00D45042">
        <w:rPr>
          <w:b/>
          <w:bCs/>
          <w:sz w:val="22"/>
          <w:szCs w:val="22"/>
        </w:rPr>
        <w:t>HOLD</w:t>
      </w:r>
      <w:r w:rsidRPr="00D45042">
        <w:rPr>
          <w:sz w:val="22"/>
          <w:szCs w:val="22"/>
        </w:rPr>
        <w:t xml:space="preserve"> recommendation and a DCF-derived intrinsic fair value of </w:t>
      </w:r>
      <w:r w:rsidRPr="00D45042">
        <w:rPr>
          <w:b/>
          <w:bCs/>
          <w:sz w:val="22"/>
          <w:szCs w:val="22"/>
        </w:rPr>
        <w:t>₹1,000.85</w:t>
      </w:r>
      <w:r w:rsidRPr="00D45042">
        <w:rPr>
          <w:sz w:val="22"/>
          <w:szCs w:val="22"/>
        </w:rPr>
        <w:t xml:space="preserve"> against a current market price of ₹1,035.00 </w:t>
      </w:r>
      <w:r w:rsidRPr="00D45042">
        <w:rPr>
          <w:b/>
          <w:bCs/>
          <w:sz w:val="22"/>
          <w:szCs w:val="22"/>
        </w:rPr>
        <w:t>(-3.3% variance</w:t>
      </w:r>
      <w:r w:rsidRPr="00D45042">
        <w:rPr>
          <w:sz w:val="22"/>
          <w:szCs w:val="22"/>
        </w:rPr>
        <w:t xml:space="preserve">). Because the stock trades efficiently within a narrow </w:t>
      </w:r>
      <m:oMath>
        <m:r>
          <w:rPr>
            <w:rFonts w:ascii="Cambria Math" w:hAnsi="Cambria Math"/>
            <w:sz w:val="22"/>
            <w:szCs w:val="22"/>
          </w:rPr>
          <m:t>±5%</m:t>
        </m:r>
      </m:oMath>
      <w:r w:rsidRPr="00D45042">
        <w:rPr>
          <w:sz w:val="22"/>
          <w:szCs w:val="22"/>
        </w:rPr>
        <w:t xml:space="preserve"> corridor of its fundamental value, baseline outputs indicate fair market pricing rather than a clear mispricing edge. </w:t>
      </w:r>
    </w:p>
    <w:p w14:paraId="6B3164C9" w14:textId="6A30C8FE" w:rsidR="00A55628" w:rsidRPr="00D45042" w:rsidRDefault="00B3681A" w:rsidP="00B55A0F">
      <w:pPr>
        <w:rPr>
          <w:sz w:val="22"/>
          <w:szCs w:val="22"/>
        </w:rPr>
      </w:pPr>
      <w:r w:rsidRPr="00D45042">
        <w:rPr>
          <w:sz w:val="22"/>
          <w:szCs w:val="22"/>
        </w:rPr>
        <w:t>Furthermore, sensitivity analysis highlights that minor shifts in core variable</w:t>
      </w:r>
      <w:r w:rsidRPr="00D45042">
        <w:rPr>
          <w:sz w:val="22"/>
          <w:szCs w:val="22"/>
        </w:rPr>
        <w:t>s, s</w:t>
      </w:r>
      <w:r w:rsidRPr="00D45042">
        <w:rPr>
          <w:sz w:val="22"/>
          <w:szCs w:val="22"/>
        </w:rPr>
        <w:t xml:space="preserve">uch as revenue growth or equity risk </w:t>
      </w:r>
      <w:r w:rsidR="00011908" w:rsidRPr="00D45042">
        <w:rPr>
          <w:sz w:val="22"/>
          <w:szCs w:val="22"/>
        </w:rPr>
        <w:t>premium, easily</w:t>
      </w:r>
      <w:r w:rsidRPr="00D45042">
        <w:rPr>
          <w:sz w:val="22"/>
          <w:szCs w:val="22"/>
        </w:rPr>
        <w:t xml:space="preserve"> swing the valuation outside this threshold, underscoring a fragile rating and supporting a disciplined</w:t>
      </w:r>
      <w:r w:rsidRPr="00D45042">
        <w:rPr>
          <w:sz w:val="22"/>
          <w:szCs w:val="22"/>
        </w:rPr>
        <w:t xml:space="preserve"> hold </w:t>
      </w:r>
      <w:r w:rsidRPr="00D45042">
        <w:rPr>
          <w:sz w:val="22"/>
          <w:szCs w:val="22"/>
        </w:rPr>
        <w:t xml:space="preserve">stance. </w:t>
      </w:r>
    </w:p>
    <w:p w14:paraId="2D5C9C8A" w14:textId="25E8F73B" w:rsidR="00FE6683" w:rsidRPr="00B55A0F" w:rsidRDefault="00A55628" w:rsidP="00FE6683">
      <w:pPr>
        <w:pStyle w:val="Heading2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B55A0F">
        <w:rPr>
          <w:b/>
          <w:bCs/>
          <w:sz w:val="28"/>
          <w:szCs w:val="28"/>
        </w:rPr>
        <w:t xml:space="preserve">Key </w:t>
      </w:r>
      <w:r w:rsidR="00011908" w:rsidRPr="00B55A0F">
        <w:rPr>
          <w:b/>
          <w:bCs/>
          <w:sz w:val="28"/>
          <w:szCs w:val="28"/>
        </w:rPr>
        <w:t>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5193"/>
      </w:tblGrid>
      <w:tr w:rsidR="00011908" w:rsidRPr="00011908" w14:paraId="4F6ED7BC" w14:textId="77777777" w:rsidTr="00B55A0F">
        <w:tc>
          <w:tcPr>
            <w:tcW w:w="1980" w:type="dxa"/>
            <w:shd w:val="clear" w:color="auto" w:fill="0F4761" w:themeFill="accent1" w:themeFillShade="BF"/>
          </w:tcPr>
          <w:p w14:paraId="2A845660" w14:textId="6ED23A2B" w:rsidR="00011908" w:rsidRPr="00011908" w:rsidRDefault="00011908" w:rsidP="00011908">
            <w:pPr>
              <w:rPr>
                <w:b/>
                <w:bCs/>
              </w:rPr>
            </w:pPr>
            <w:r w:rsidRPr="00011908">
              <w:rPr>
                <w:b/>
                <w:bCs/>
              </w:rPr>
              <w:t>Key Assumption</w:t>
            </w:r>
          </w:p>
        </w:tc>
        <w:tc>
          <w:tcPr>
            <w:tcW w:w="1843" w:type="dxa"/>
            <w:shd w:val="clear" w:color="auto" w:fill="0F4761" w:themeFill="accent1" w:themeFillShade="BF"/>
          </w:tcPr>
          <w:p w14:paraId="31F26609" w14:textId="52BEFBC0" w:rsidR="00011908" w:rsidRPr="00011908" w:rsidRDefault="00011908" w:rsidP="00011908">
            <w:pPr>
              <w:rPr>
                <w:b/>
                <w:bCs/>
              </w:rPr>
            </w:pPr>
            <w:r w:rsidRPr="00011908">
              <w:rPr>
                <w:b/>
                <w:bCs/>
              </w:rPr>
              <w:t>Value</w:t>
            </w:r>
          </w:p>
        </w:tc>
        <w:tc>
          <w:tcPr>
            <w:tcW w:w="5193" w:type="dxa"/>
            <w:shd w:val="clear" w:color="auto" w:fill="0F4761" w:themeFill="accent1" w:themeFillShade="BF"/>
          </w:tcPr>
          <w:p w14:paraId="3B4133D9" w14:textId="254E83E3" w:rsidR="00011908" w:rsidRPr="00011908" w:rsidRDefault="00011908" w:rsidP="00011908">
            <w:pPr>
              <w:rPr>
                <w:b/>
                <w:bCs/>
              </w:rPr>
            </w:pPr>
            <w:r w:rsidRPr="00011908">
              <w:rPr>
                <w:b/>
                <w:bCs/>
              </w:rPr>
              <w:t>Basis</w:t>
            </w:r>
          </w:p>
        </w:tc>
      </w:tr>
      <w:tr w:rsidR="00011908" w:rsidRPr="00A55628" w14:paraId="72E9897C" w14:textId="77777777" w:rsidTr="00B55A0F">
        <w:trPr>
          <w:trHeight w:val="375"/>
        </w:trPr>
        <w:tc>
          <w:tcPr>
            <w:tcW w:w="1980" w:type="dxa"/>
          </w:tcPr>
          <w:p w14:paraId="6A572135" w14:textId="67F16BE3" w:rsidR="00011908" w:rsidRPr="00A55628" w:rsidRDefault="0001190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Risk Free Rate</w:t>
            </w:r>
          </w:p>
        </w:tc>
        <w:tc>
          <w:tcPr>
            <w:tcW w:w="1843" w:type="dxa"/>
          </w:tcPr>
          <w:p w14:paraId="2BA1ED42" w14:textId="78C4219C" w:rsidR="00011908" w:rsidRPr="00A55628" w:rsidRDefault="0001190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7.2%</w:t>
            </w:r>
          </w:p>
        </w:tc>
        <w:tc>
          <w:tcPr>
            <w:tcW w:w="5193" w:type="dxa"/>
          </w:tcPr>
          <w:p w14:paraId="7E17D23E" w14:textId="7BFFBF4F" w:rsidR="00011908" w:rsidRPr="00A55628" w:rsidRDefault="0001190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 xml:space="preserve">Market: </w:t>
            </w:r>
            <w:r w:rsidRPr="00A55628">
              <w:rPr>
                <w:sz w:val="20"/>
                <w:szCs w:val="20"/>
              </w:rPr>
              <w:t>10-year Indian G-Sec yield as of 1 October 2026</w:t>
            </w:r>
          </w:p>
        </w:tc>
      </w:tr>
      <w:tr w:rsidR="00011908" w:rsidRPr="00A55628" w14:paraId="5F72194B" w14:textId="77777777" w:rsidTr="00B55A0F">
        <w:tc>
          <w:tcPr>
            <w:tcW w:w="1980" w:type="dxa"/>
          </w:tcPr>
          <w:p w14:paraId="044C48B8" w14:textId="470214BA" w:rsidR="00011908" w:rsidRPr="00A55628" w:rsidRDefault="0001190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Equity Beta</w:t>
            </w:r>
          </w:p>
        </w:tc>
        <w:tc>
          <w:tcPr>
            <w:tcW w:w="1843" w:type="dxa"/>
          </w:tcPr>
          <w:p w14:paraId="7D8E7941" w14:textId="753BFCAD" w:rsidR="00011908" w:rsidRPr="00A55628" w:rsidRDefault="0001190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0.90</w:t>
            </w:r>
          </w:p>
        </w:tc>
        <w:tc>
          <w:tcPr>
            <w:tcW w:w="5193" w:type="dxa"/>
          </w:tcPr>
          <w:p w14:paraId="5DCEBE94" w14:textId="01AFE218" w:rsidR="00011908" w:rsidRPr="00A55628" w:rsidRDefault="0001190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 xml:space="preserve">Judgement: </w:t>
            </w:r>
            <w:r w:rsidRPr="00A55628">
              <w:rPr>
                <w:sz w:val="20"/>
                <w:szCs w:val="20"/>
              </w:rPr>
              <w:t xml:space="preserve">Assumed plausible figure for large-cap IT </w:t>
            </w:r>
            <w:r w:rsidR="00FE6683" w:rsidRPr="00A55628">
              <w:rPr>
                <w:sz w:val="20"/>
                <w:szCs w:val="20"/>
              </w:rPr>
              <w:t>services</w:t>
            </w:r>
          </w:p>
        </w:tc>
      </w:tr>
      <w:tr w:rsidR="00011908" w:rsidRPr="00A55628" w14:paraId="02CE04CF" w14:textId="77777777" w:rsidTr="00B55A0F">
        <w:tc>
          <w:tcPr>
            <w:tcW w:w="1980" w:type="dxa"/>
          </w:tcPr>
          <w:p w14:paraId="374130CE" w14:textId="3F6E38FB" w:rsidR="00011908" w:rsidRPr="00A55628" w:rsidRDefault="0001190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Equity Risk Premium</w:t>
            </w:r>
          </w:p>
        </w:tc>
        <w:tc>
          <w:tcPr>
            <w:tcW w:w="1843" w:type="dxa"/>
          </w:tcPr>
          <w:p w14:paraId="5AFA3184" w14:textId="0A0C178D" w:rsidR="00011908" w:rsidRPr="00A55628" w:rsidRDefault="0001190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6.0%</w:t>
            </w:r>
          </w:p>
        </w:tc>
        <w:tc>
          <w:tcPr>
            <w:tcW w:w="5193" w:type="dxa"/>
          </w:tcPr>
          <w:p w14:paraId="4B4A7742" w14:textId="19A5A347" w:rsidR="00011908" w:rsidRPr="00A55628" w:rsidRDefault="0001190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 xml:space="preserve">Judgement: </w:t>
            </w:r>
            <w:r w:rsidRPr="00A55628">
              <w:rPr>
                <w:sz w:val="20"/>
                <w:szCs w:val="20"/>
              </w:rPr>
              <w:t>Conventional working figure for the Indian market</w:t>
            </w:r>
          </w:p>
        </w:tc>
      </w:tr>
      <w:tr w:rsidR="00011908" w:rsidRPr="00A55628" w14:paraId="0C319BAB" w14:textId="77777777" w:rsidTr="00B55A0F">
        <w:trPr>
          <w:trHeight w:val="570"/>
        </w:trPr>
        <w:tc>
          <w:tcPr>
            <w:tcW w:w="1980" w:type="dxa"/>
          </w:tcPr>
          <w:p w14:paraId="349B26E8" w14:textId="54BF1C2C" w:rsidR="00011908" w:rsidRPr="00A55628" w:rsidRDefault="0001190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Terminal Growth Rate</w:t>
            </w:r>
          </w:p>
        </w:tc>
        <w:tc>
          <w:tcPr>
            <w:tcW w:w="1843" w:type="dxa"/>
          </w:tcPr>
          <w:p w14:paraId="3F30647B" w14:textId="53276915" w:rsidR="00011908" w:rsidRPr="00A55628" w:rsidRDefault="0001190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4.5%</w:t>
            </w:r>
          </w:p>
        </w:tc>
        <w:tc>
          <w:tcPr>
            <w:tcW w:w="5193" w:type="dxa"/>
          </w:tcPr>
          <w:p w14:paraId="3E8B9721" w14:textId="0A44F5FA" w:rsidR="00011908" w:rsidRPr="00A55628" w:rsidRDefault="0001190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 xml:space="preserve">Judgement: </w:t>
            </w:r>
            <w:r w:rsidRPr="00A55628">
              <w:rPr>
                <w:sz w:val="20"/>
                <w:szCs w:val="20"/>
              </w:rPr>
              <w:t>Conservative perpetuity rate below the 7.2% risk-free ceiling</w:t>
            </w:r>
          </w:p>
        </w:tc>
      </w:tr>
      <w:tr w:rsidR="00A55628" w:rsidRPr="00A55628" w14:paraId="340FD78A" w14:textId="77777777" w:rsidTr="00B55A0F">
        <w:trPr>
          <w:trHeight w:val="570"/>
        </w:trPr>
        <w:tc>
          <w:tcPr>
            <w:tcW w:w="1980" w:type="dxa"/>
          </w:tcPr>
          <w:p w14:paraId="02C249EC" w14:textId="2E022651" w:rsidR="00A55628" w:rsidRPr="00A55628" w:rsidRDefault="00A5562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Revenue Growth</w:t>
            </w:r>
          </w:p>
        </w:tc>
        <w:tc>
          <w:tcPr>
            <w:tcW w:w="1843" w:type="dxa"/>
          </w:tcPr>
          <w:p w14:paraId="729A8E7D" w14:textId="5500F914" w:rsidR="00A55628" w:rsidRPr="00A55628" w:rsidRDefault="00A5562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8.0%-6.5%</w:t>
            </w:r>
          </w:p>
        </w:tc>
        <w:tc>
          <w:tcPr>
            <w:tcW w:w="5193" w:type="dxa"/>
          </w:tcPr>
          <w:p w14:paraId="2E59549D" w14:textId="2611B77E" w:rsidR="00A55628" w:rsidRPr="00A55628" w:rsidRDefault="00A5562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Judgement: Reported rupee growth, guidance is 1.5-3% in constant currency</w:t>
            </w:r>
          </w:p>
        </w:tc>
      </w:tr>
      <w:tr w:rsidR="00A55628" w:rsidRPr="00A55628" w14:paraId="1CAC2A8C" w14:textId="77777777" w:rsidTr="00B55A0F">
        <w:trPr>
          <w:trHeight w:val="381"/>
        </w:trPr>
        <w:tc>
          <w:tcPr>
            <w:tcW w:w="1980" w:type="dxa"/>
          </w:tcPr>
          <w:p w14:paraId="247CFCAB" w14:textId="0F97474E" w:rsidR="00A55628" w:rsidRPr="00A55628" w:rsidRDefault="00A5562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EBIT Margin</w:t>
            </w:r>
          </w:p>
        </w:tc>
        <w:tc>
          <w:tcPr>
            <w:tcW w:w="1843" w:type="dxa"/>
          </w:tcPr>
          <w:p w14:paraId="69F5F1BA" w14:textId="476AF9B8" w:rsidR="00A55628" w:rsidRPr="00A55628" w:rsidRDefault="00A5562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21.0%</w:t>
            </w:r>
          </w:p>
        </w:tc>
        <w:tc>
          <w:tcPr>
            <w:tcW w:w="5193" w:type="dxa"/>
          </w:tcPr>
          <w:p w14:paraId="1B4762F6" w14:textId="1EE91EDA" w:rsidR="00A55628" w:rsidRPr="00A55628" w:rsidRDefault="00A55628" w:rsidP="00B55A0F">
            <w:pPr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Data: Midpoint of the 20%-22% band</w:t>
            </w:r>
          </w:p>
        </w:tc>
      </w:tr>
      <w:tr w:rsidR="00A55628" w:rsidRPr="00A55628" w14:paraId="31B9632E" w14:textId="77777777" w:rsidTr="00B55A0F">
        <w:trPr>
          <w:trHeight w:val="542"/>
        </w:trPr>
        <w:tc>
          <w:tcPr>
            <w:tcW w:w="1980" w:type="dxa"/>
          </w:tcPr>
          <w:p w14:paraId="03826FD5" w14:textId="42D2EE7E" w:rsidR="00A55628" w:rsidRPr="00A55628" w:rsidRDefault="00A55628" w:rsidP="00B55A0F">
            <w:pPr>
              <w:rPr>
                <w:b/>
                <w:bCs/>
                <w:sz w:val="20"/>
                <w:szCs w:val="20"/>
              </w:rPr>
            </w:pPr>
            <w:r w:rsidRPr="00A55628">
              <w:rPr>
                <w:b/>
                <w:bCs/>
                <w:sz w:val="20"/>
                <w:szCs w:val="20"/>
              </w:rPr>
              <w:t>D&amp;A/Capex/NWC</w:t>
            </w:r>
          </w:p>
        </w:tc>
        <w:tc>
          <w:tcPr>
            <w:tcW w:w="1843" w:type="dxa"/>
          </w:tcPr>
          <w:p w14:paraId="627DBF7A" w14:textId="77777777" w:rsidR="00A55628" w:rsidRPr="00A55628" w:rsidRDefault="00A55628" w:rsidP="00B55A0F">
            <w:pPr>
              <w:jc w:val="center"/>
              <w:rPr>
                <w:sz w:val="20"/>
                <w:szCs w:val="20"/>
              </w:rPr>
            </w:pPr>
            <w:r w:rsidRPr="00A55628">
              <w:rPr>
                <w:sz w:val="20"/>
                <w:szCs w:val="20"/>
              </w:rPr>
              <w:t>2.7% / 3.5% / 13.2% of revenue</w:t>
            </w:r>
          </w:p>
          <w:p w14:paraId="3E08E963" w14:textId="77777777" w:rsidR="00A55628" w:rsidRPr="00A55628" w:rsidRDefault="00A55628" w:rsidP="00B55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93" w:type="dxa"/>
          </w:tcPr>
          <w:p w14:paraId="76EE5ED7" w14:textId="60165BFF" w:rsidR="00B55A0F" w:rsidRPr="00A55628" w:rsidRDefault="00B55A0F" w:rsidP="00B55A0F">
            <w:pPr>
              <w:rPr>
                <w:sz w:val="20"/>
                <w:szCs w:val="20"/>
              </w:rPr>
            </w:pPr>
            <w:r w:rsidRPr="00B55A0F">
              <w:rPr>
                <w:sz w:val="20"/>
                <w:szCs w:val="20"/>
              </w:rPr>
              <w:t>Data and judgment. D&amp;A and NWC at FY26 levels; capex set above D&amp;A</w:t>
            </w:r>
          </w:p>
        </w:tc>
      </w:tr>
    </w:tbl>
    <w:p w14:paraId="570352E6" w14:textId="77777777" w:rsidR="00E34B57" w:rsidRDefault="00E34B57" w:rsidP="00011908"/>
    <w:p w14:paraId="28737A95" w14:textId="426C7B1F" w:rsidR="00FE6683" w:rsidRDefault="00B55A0F" w:rsidP="00B55A0F">
      <w:pPr>
        <w:pStyle w:val="Heading2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B55A0F">
        <w:rPr>
          <w:b/>
          <w:bCs/>
          <w:sz w:val="28"/>
          <w:szCs w:val="28"/>
        </w:rPr>
        <w:t>Valuation &amp; Sensitivity Grid</w:t>
      </w:r>
    </w:p>
    <w:p w14:paraId="6126E03A" w14:textId="77777777" w:rsidR="00D45042" w:rsidRPr="00D45042" w:rsidRDefault="00D45042" w:rsidP="00D45042">
      <w:pPr>
        <w:pStyle w:val="NoSpacing"/>
        <w:rPr>
          <w:b/>
          <w:bCs/>
        </w:rPr>
      </w:pPr>
      <w:r w:rsidRPr="00D45042">
        <w:rPr>
          <w:b/>
          <w:bCs/>
        </w:rPr>
        <w:t xml:space="preserve">Enterprise-to-Equity Bridge: </w:t>
      </w:r>
    </w:p>
    <w:p w14:paraId="5B4B8740" w14:textId="1E82A0D0" w:rsidR="00D45042" w:rsidRDefault="00D45042" w:rsidP="00D45042">
      <w:pPr>
        <w:pStyle w:val="NoSpacing"/>
        <w:rPr>
          <w:sz w:val="22"/>
          <w:szCs w:val="22"/>
        </w:rPr>
      </w:pPr>
      <w:r w:rsidRPr="00D45042">
        <w:rPr>
          <w:sz w:val="22"/>
          <w:szCs w:val="22"/>
        </w:rPr>
        <w:t>Discounting 5-year FCF (₹108,841 Cr) and Terminal Value (₹262,158 Cr) yields an Enterprise Value of ₹370,999 Cr. Adding cash and investments (₹44,081 Cr) and subtracting borrowings (₹9,176 Cr) results in a total Equity Value of ₹405,904 Cr, translating to an intrinsic fair value of ₹1,0</w:t>
      </w:r>
      <w:r>
        <w:rPr>
          <w:sz w:val="22"/>
          <w:szCs w:val="22"/>
        </w:rPr>
        <w:t>00.85</w:t>
      </w:r>
      <w:r w:rsidRPr="00D45042">
        <w:rPr>
          <w:sz w:val="22"/>
          <w:szCs w:val="22"/>
        </w:rPr>
        <w:t xml:space="preserve"> per share across 405.56 crore shares.</w:t>
      </w:r>
    </w:p>
    <w:p w14:paraId="2DC7F18B" w14:textId="77777777" w:rsidR="00D45042" w:rsidRPr="00D45042" w:rsidRDefault="00D45042" w:rsidP="00D45042">
      <w:pPr>
        <w:pStyle w:val="NoSpacing"/>
        <w:rPr>
          <w:sz w:val="22"/>
          <w:szCs w:val="22"/>
        </w:rPr>
      </w:pPr>
    </w:p>
    <w:p w14:paraId="749AB278" w14:textId="41B2D3B4" w:rsidR="00B55A0F" w:rsidRPr="00D45042" w:rsidRDefault="00B55A0F" w:rsidP="00D45042">
      <w:pPr>
        <w:pStyle w:val="NoSpacing"/>
        <w:rPr>
          <w:b/>
          <w:bCs/>
        </w:rPr>
      </w:pPr>
      <w:r w:rsidRPr="00D45042">
        <w:rPr>
          <w:b/>
          <w:bCs/>
        </w:rPr>
        <w:t xml:space="preserve">Sensitivity Grid: </w:t>
      </w:r>
    </w:p>
    <w:tbl>
      <w:tblPr>
        <w:tblW w:w="9196" w:type="dxa"/>
        <w:tblInd w:w="-5" w:type="dxa"/>
        <w:tblLook w:val="04A0" w:firstRow="1" w:lastRow="0" w:firstColumn="1" w:lastColumn="0" w:noHBand="0" w:noVBand="1"/>
      </w:tblPr>
      <w:tblGrid>
        <w:gridCol w:w="2835"/>
        <w:gridCol w:w="1276"/>
        <w:gridCol w:w="1276"/>
        <w:gridCol w:w="1276"/>
        <w:gridCol w:w="1275"/>
        <w:gridCol w:w="1258"/>
      </w:tblGrid>
      <w:tr w:rsidR="00B55A0F" w:rsidRPr="00D45042" w14:paraId="42BAC34D" w14:textId="77777777" w:rsidTr="00B55A0F">
        <w:trPr>
          <w:trHeight w:val="32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bottom"/>
            <w:hideMark/>
          </w:tcPr>
          <w:p w14:paraId="5D0E65AA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WACC \ Terminal Growth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99CCFF"/>
            <w:noWrap/>
            <w:vAlign w:val="bottom"/>
            <w:hideMark/>
          </w:tcPr>
          <w:p w14:paraId="0C5F1B4E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3.5%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99CCFF"/>
            <w:noWrap/>
            <w:vAlign w:val="bottom"/>
            <w:hideMark/>
          </w:tcPr>
          <w:p w14:paraId="37A72C12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4.0%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99CCFF"/>
            <w:noWrap/>
            <w:vAlign w:val="bottom"/>
            <w:hideMark/>
          </w:tcPr>
          <w:p w14:paraId="235272E0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4.5%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99CCFF"/>
            <w:noWrap/>
            <w:vAlign w:val="bottom"/>
            <w:hideMark/>
          </w:tcPr>
          <w:p w14:paraId="2D0DC807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5.0%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99CCFF"/>
            <w:noWrap/>
            <w:vAlign w:val="bottom"/>
            <w:hideMark/>
          </w:tcPr>
          <w:p w14:paraId="04BF876B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5.5%</w:t>
            </w:r>
          </w:p>
        </w:tc>
      </w:tr>
      <w:tr w:rsidR="00B55A0F" w:rsidRPr="00B55A0F" w14:paraId="0EF884DD" w14:textId="77777777" w:rsidTr="00B55A0F">
        <w:trPr>
          <w:trHeight w:val="324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bottom"/>
            <w:hideMark/>
          </w:tcPr>
          <w:p w14:paraId="11E339FE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10.4%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470A8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1,170.8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2BD63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1,237.5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86F6F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1,315.7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7C174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1,408.2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54798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1,519.7</w:t>
            </w:r>
          </w:p>
        </w:tc>
      </w:tr>
      <w:tr w:rsidR="00B55A0F" w:rsidRPr="00B55A0F" w14:paraId="4025C082" w14:textId="77777777" w:rsidTr="00B55A0F">
        <w:trPr>
          <w:trHeight w:val="324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bottom"/>
            <w:hideMark/>
          </w:tcPr>
          <w:p w14:paraId="6F0DC276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11.4%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A2133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1,031.0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896F1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1,079.7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3674D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1,135.4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EE750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1,199.8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CC8F2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1,275.2</w:t>
            </w:r>
          </w:p>
        </w:tc>
      </w:tr>
      <w:tr w:rsidR="00B55A0F" w:rsidRPr="00B55A0F" w14:paraId="0846ACA0" w14:textId="77777777" w:rsidTr="00B55A0F">
        <w:trPr>
          <w:trHeight w:val="324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bottom"/>
            <w:hideMark/>
          </w:tcPr>
          <w:p w14:paraId="035717D8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12.4%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A5A10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922.7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DF22D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959.5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08470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1,000.8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5793B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1,047.8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C89D49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1,101.6</w:t>
            </w:r>
          </w:p>
        </w:tc>
      </w:tr>
      <w:tr w:rsidR="00B55A0F" w:rsidRPr="00B55A0F" w14:paraId="026065A6" w14:textId="77777777" w:rsidTr="00B55A0F">
        <w:trPr>
          <w:trHeight w:val="324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bottom"/>
            <w:hideMark/>
          </w:tcPr>
          <w:p w14:paraId="1A5924F6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13.4%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BA9A0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836.4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75FE4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864.9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67A41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896.6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CF3F2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932.0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746B5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972.0</w:t>
            </w:r>
          </w:p>
        </w:tc>
      </w:tr>
      <w:tr w:rsidR="00B55A0F" w:rsidRPr="00B55A0F" w14:paraId="46679B5C" w14:textId="77777777" w:rsidTr="00B55A0F">
        <w:trPr>
          <w:trHeight w:val="324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bottom"/>
            <w:hideMark/>
          </w:tcPr>
          <w:p w14:paraId="47284741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14.4%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25A0F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766.0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5F34C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788.5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3A292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813.4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08D76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840.9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FBA37" w14:textId="77777777" w:rsidR="00B55A0F" w:rsidRPr="00D45042" w:rsidRDefault="00B55A0F" w:rsidP="00D45042">
            <w:pPr>
              <w:pStyle w:val="NoSpacing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504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871.5</w:t>
            </w:r>
          </w:p>
        </w:tc>
      </w:tr>
    </w:tbl>
    <w:p w14:paraId="4A0FD249" w14:textId="77777777" w:rsidR="00B55A0F" w:rsidRPr="00B55A0F" w:rsidRDefault="00B55A0F" w:rsidP="00D45042">
      <w:pPr>
        <w:jc w:val="center"/>
        <w:rPr>
          <w:b/>
          <w:bCs/>
        </w:rPr>
      </w:pPr>
    </w:p>
    <w:sectPr w:rsidR="00B55A0F" w:rsidRPr="00B55A0F" w:rsidSect="00D45042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B0"/>
    <w:rsid w:val="00011908"/>
    <w:rsid w:val="00210B5C"/>
    <w:rsid w:val="002111B0"/>
    <w:rsid w:val="003C67E6"/>
    <w:rsid w:val="00737B97"/>
    <w:rsid w:val="00A12398"/>
    <w:rsid w:val="00A55628"/>
    <w:rsid w:val="00B3681A"/>
    <w:rsid w:val="00B55A0F"/>
    <w:rsid w:val="00D45042"/>
    <w:rsid w:val="00E34B57"/>
    <w:rsid w:val="00F352F3"/>
    <w:rsid w:val="00F44F81"/>
    <w:rsid w:val="00FE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97F"/>
  <w15:chartTrackingRefBased/>
  <w15:docId w15:val="{D5CDE7FE-D53C-446B-B3E7-1984E06B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11908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D450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Juhi Kohli</dc:creator>
  <cp:keywords/>
  <dc:description/>
  <cp:lastModifiedBy>Dr Juhi Kohli</cp:lastModifiedBy>
  <cp:revision>1</cp:revision>
  <dcterms:created xsi:type="dcterms:W3CDTF">2026-10-03T16:38:00Z</dcterms:created>
  <dcterms:modified xsi:type="dcterms:W3CDTF">2026-10-03T18:28:00Z</dcterms:modified>
</cp:coreProperties>
</file>