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77777777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7 Maret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adi, carli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adi, carli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7 Maret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7 Maret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/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adi, carli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adi, carli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811D7D">
            <w:pPr>
              <w:pStyle w:val="ListParagraph"/>
              <w:numPr>
                <w:ilvl w:val="0"/>
                <w:numId w:val="19"/>
              </w:numPr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
                Nama		: adi
                <w:br/>
                Umur	: 
                <w:br/>
                Pekerjaan	: 
                <w:br/>
                Alamat		: 
                <w:br/>
                KTP No.		: 
                <w:br/>
                <w:br/>
                Nama		: carli
                <w:br/>
                Umur	: 
                <w:br/>
                Pekerjaan	: 
                <w:br/>
                Alamat		: 
                <w:br/>
                KTP No.		: 
                <w:br/>
                <w:br/>
              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adi, carli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7 Maret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7 Maret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7 Maret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adi, carli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adi, carli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/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adi, carli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7777777" w:rsidR="00397645" w:rsidRPr="00B8305E" w:rsidRDefault="000F7656" w:rsidP="00397645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AMRIS</w:t>
            </w:r>
            <w:r w:rsidR="00397645" w:rsidRPr="00B8305E">
              <w:rPr>
                <w:rFonts w:ascii="Book Antiqua" w:eastAsia="DFKai-SB" w:hAnsi="Book Antiqua" w:cs="Tahoma"/>
                <w:u w:val="single"/>
              </w:rPr>
              <w:t>,S.Sos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FAAAA" w14:textId="77777777" w:rsidR="00640604" w:rsidRDefault="00640604" w:rsidP="00756E89">
      <w:r>
        <w:separator/>
      </w:r>
    </w:p>
  </w:endnote>
  <w:endnote w:type="continuationSeparator" w:id="0">
    <w:p w14:paraId="2686FDCC" w14:textId="77777777" w:rsidR="00640604" w:rsidRDefault="00640604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213A0" w14:textId="77777777" w:rsidR="00640604" w:rsidRDefault="00640604" w:rsidP="00756E89">
      <w:r>
        <w:separator/>
      </w:r>
    </w:p>
  </w:footnote>
  <w:footnote w:type="continuationSeparator" w:id="0">
    <w:p w14:paraId="56B572D7" w14:textId="77777777" w:rsidR="00640604" w:rsidRDefault="00640604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59EC"/>
    <w:rsid w:val="00CC66C6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84</cp:revision>
  <cp:lastPrinted>2020-01-20T03:03:00Z</cp:lastPrinted>
  <dcterms:created xsi:type="dcterms:W3CDTF">2021-03-03T03:09:00Z</dcterms:created>
  <dcterms:modified xsi:type="dcterms:W3CDTF">2021-03-07T03:01:00Z</dcterms:modified>
</cp:coreProperties>
</file>