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Rencana Pembangunan ZI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mekanisme atau media untuk mensosialisasikan pembangunan WBK/WBBM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Tersedia berbagai media sosialisasi baik luring maupun daring secara intensif</w:t>
              <w:br/>
              <w:t>• b. Media sosialisasi terbatas pada satu kanal</w:t>
              <w:br/>
              <w:t>• c. Belum ada sosialisasi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pelaksanaan sosialisasi mencakup sosialisasi offline (rapat, apel, briefing) dan online (medsos, website)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Foto/tangkapan layar publikasi ZI di medsos &amp; website BPS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Banner/Spanduk komitmen ZI di kantor PST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/Bukti_Dukung_Selayar_2025/01_Manajemen_Perubahan/Pemenuhan/2 c. SOSIALISASI PEMBANGUNAN ZI/</w:t>
        <w:br/>
        <w:t>• Standar Format Penamaan File : 2c_[NamaDokumen]_BPS_Selayar_2025.pdf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