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Membangun Budaya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Instansi membangun budaya kerja positif dan menginternalisasikan nilai-nilai organisasi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Penerapan budaya kerja terstruktur, terdapat internalisasi rutin, dan dikaitkan dalam SOP kerja</w:t>
              <w:br/>
              <w:t>• B: Internalisasi berkala tapi belum terikat SOP</w:t>
              <w:br/>
              <w:t>• C/D: Belum terstruktur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Undangan, daftar hadir, notulen dan dokumentasi kegiatan internalisasi budaya kerja BerAKHLAK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SOP kegiatan pelayanan dan teknis yang telah terdapat narasi keterkaitan dengan budaya kerja BerAKHLAK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/Bukti_Dukung_Selayar_2025/01_Manajemen_Perubahan/Reform/R3. MEMBANGUN BUDAYA KERJA/</w:t>
        <w:br/>
        <w:t>• Standar Format Penamaan File : R3_[NamaDokumen]_BPS_Selayar_2025.pdf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