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Keterbukaan Informasi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pelaksanaan kebijakan keterbukaan informasi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Monev semesteran/tahunan teratur dan dipublikasikan</w:t>
              <w:br/>
              <w:t>• b. Monev dilakukan namun belum rutin / dokumen belum lengkap</w:t>
              <w:br/>
              <w:t>• c. Belum dilakukan monev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B | Nilai: 0.50 (Perlu Ditingkatkan)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Daftar informasi publik yang dapat diakses berkala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Keterbukaan Informasi Publik / Laporan Tahunan Layanan PPID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Susun Laporan Tahunan Layanan Informasi Publik PPID BPS Kabupaten Kepulauan Selayar untuk mendapatkan nilai maksimal 1.00.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/Bukti_Dukung_Selayar_2025/02_Penataan_Tatalaksana/Pemenuhan/3 b. MONEV KIP/</w:t>
        <w:br/>
        <w:t>• Standar Format Penamaan File : 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