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Perencanaan Kebutuhan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Penempatan pegawai hasil rekrutmen murni mengacu kepada kebutuhan riil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penempatan sesuai formasi kebutuhan riil</w:t>
              <w:br/>
              <w:t>• B: 75-99%</w:t>
              <w:br/>
              <w:t>• C: 50-74%</w:t>
              <w:br/>
              <w:t>• D: &lt;50%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Surat Usulan Kebutuhan Pegawai / CPNS / PPPK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Penempatan Pegawai Baru Sesuai Formasi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/Bukti_Dukung_Selayar_2025/03_Penataan_Sistem_Manajemen_SDM_Aparatur/Pemenuhan/1 b. PENEMPATAN REKRUTMEN/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