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ii. Pengelolaan Akuntabilitas Kinerja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2.d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Indikator kinerja telah memenuhi kriteria SMART (Specific, Measurable, Achievable, Relevant, Time-bound)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100% indikator memenuhi kaidah SMART</w:t>
              <w:br/>
              <w:t>• B: 75-99%</w:t>
              <w:br/>
              <w:t>• C/D: &lt;75%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LAKIN BPS Kepulauan Selayar dengan penjabaran Indikator SMART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Kertas Kerja Reviu Indikator Kinerja SMART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2.d,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/Bukti_Dukung_Selayar_2025/04_Penguatan_Akuntabilitas/Pemenuhan/2 d. INDIKATOR SMART/</w:t>
        <w:br/>
        <w:t>• Standar Format Penamaan File : 2d_[NamaDokumen]_BPS_Selayar_2025.pdf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