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Pengendalian Gratifikasi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public campaign tentang pengendalian gratifikasi dan tolak suap/pungli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Public campaign dilakukan rutin multi-kanal (banner kantor, medsos, website, sosialisasi eksternal)</w:t>
              <w:br/>
              <w:t>• b. Parsial</w:t>
              <w:br/>
              <w:t>• c. Belum ada campaign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&amp; tangkapan layar banner, spanduk, dan postingan media sosial tolak gratifikasi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sosialisasi larangan gratifikasi dalam rapat bersama responden dan mitra eksternal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Pakta Integritas Pegawai &amp; Foto penandatanganan pakta integritas bersama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/Bukti_Dukung_Selayar_2025/05_Penguatan_Pengawasan/Pemenuhan/1 a. PUBLIC CAMPAIGN GRATIFIKASI/</w:t>
        <w:br/>
        <w:t>• Standar Format Penamaan File : 1a_[NamaDokumen]_BPS_Selayar_2025.pdf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