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Pengaduan Masyarakat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Pengaduan masyarakat ditindaklanjuti secara cepat dan tuntas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100% aduan masyarakat ditindaklanjuti sesuai batas waktu SOP</w:t>
              <w:br/>
              <w:t>• Tidak: Ada aduan tidak ditindaklanjuti atau dokumen nihil tidak tersedia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Tidak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Buku Register Pengaduan Masyarakat Tahun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Tindak Lanjut Pengaduan Masyarakat / Surat Keterangan Nihil Aduan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 KRITIS: Buat Buku Register Pengaduan Masyarakat (jika tidak ada aduan, buat Surat Keterangan / Laporan Nihil Pengaduan).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/Bukti_Dukung_Selayar_2025/05_Penguatan_Pengawasan/Pemenuhan/3 b. TINDAK LANJUT PENGADUAN/</w:t>
        <w:br/>
        <w:t>• Standar Format Penamaan File : 3b_[NamaDokumen]_BPS_Selayar_2025.pdf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