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Penanganan Benturan Kepentingan (Conflict of Interest)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Penanganan benturan kepentingan telah diimplementasikan dalam pelaksanaan tugas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Telah ada penandatanganan Surat Pernyataan Bebas Benturan Kepentingan oleh pejabat pengadaan, pimpinan, dan tim kerja</w:t>
              <w:br/>
              <w:t>• B/C: Sebagian</w:t>
              <w:br/>
              <w:t>• D: Belum diimplementasikan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Surat Pernyataan Bebas Benturan Kepentingan (PPK, Pengadaan, Mitra, Pimpinan)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Logbook Implementasi Penanganan Benturan Kepentingan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Seluruh PPK, Pejabat Pengadaan, Panitia Seleksi Mitra, dan Pimpinan wajib menandatangani Surat Pernyataan Bebas Benturan Kepentingan.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/Bukti_Dukung_Selayar_2025/05_Penguatan_Pengawasan/Pemenuhan/5 c. IMPLEMENTASI BENTURAN KEPENTINGAN/</w:t>
        <w:br/>
        <w:t>• Standar Format Penamaan File : 5c_[NamaDokumen]_BPS_Selayar_2025.pdf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