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5: Penguatan Pengawasan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v. Penanganan Benturan Kepentingan (Conflict of Interest)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5.d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Telah dilakukan evaluasi atas penanganan benturan kepentingan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Evaluasi dilakukan secara berkala tiap semester</w:t>
              <w:br/>
              <w:t>• b. Tahunan</w:t>
              <w:br/>
              <w:t>• c. Belum dievaluasi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B91C1C"/>
                <w:sz w:val="18"/>
              </w:rPr>
              <w:t>Jawaban: C | Nilai: 0.00 (Perlu Dilengkapi)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Evaluasi Penanganan Benturan Kepentingan BPS Selayar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PERHATIAN KRITIS: Buat Laporan Evaluasi Penanganan Benturan Kepentingan Semester I &amp; II.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5.d,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/Bukti_Dukung_Selayar_2025/05_Penguatan_Pengawasan/Pemenuhan/5 d. EVALUASI BENTURAN KEPENTINGAN/</w:t>
        <w:br/>
        <w:t>• Standar Format Penamaan File : 5d_[NamaDokumen]_BPS_Selayar_2025.pdf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