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terdapat sistem pemberian kompensasi kepada penerima layanan bila layanan tidak sesuai standar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Ditetapkan mekanisme kompensasi dan direalisasikan saat terjadi keterlambatan layanan</w:t>
              <w:br/>
              <w:t>• B: Mekanisme ada namun belum disosialisasikan luas</w:t>
              <w:br/>
              <w:t>• C/D: Belum ada kompensasi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B | Nilai: 0.67 (Perlu Ditingkatkan)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Mekanisme dan SK Penetapan Pemberian Kompensasi 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Tahunan Pelayanan Publik (Klausul Kompensasi Keterlambatan Layanan)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Cantumkan kompensasi layanan secara tegas pada banner maklumat dan buat SK penetapan kompensasi.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/Bukti_Dukung_Selayar_2025/06_Peningkatan_Kualitas_Pelayanan_Publik/Pemenuhan/2 d. KOMPENSASI PELAYANAN/</w:t>
        <w:br/>
        <w:t>• Standar Format Penamaan File : 2d_[NamaDokumen]_BPS_Selayar_2025.pdf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