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ii. Penanganan Pengaduan Pelayanan dan Konsultasi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R.2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Penanganan pengaduan pelayanan dilakukan melalui berbagai kanal / media terintegrasi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Penanganan aduan terintegrasi multi-kanal secara efektif dengan laporan tindak lanjut tuntas</w:t>
              <w:br/>
              <w:t>• B/C: Parsial</w:t>
              <w:br/>
              <w:t>• D: Belum terintegrasi optimal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D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Monitoring, Evaluasi, dan Tindak Lanjut Penanganan Pengaduan Multi-Kanal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Dokumentasi Pengelolaan Media Pengaduan (Media Sosial, Website, PST, WA)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 KRITIS: Susun Laporan Monitoring, Evaluasi, dan Tindak Lanjut Penanganan Pengaduan Multi-Kanal secara berkala.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R.2,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/Bukti_Dukung_Selayar_2025/06_Peningkatan_Kualitas_Pelayanan_Publik/Reform/R2. PENGADUAN MULTIKANAL REFORM/</w:t>
        <w:br/>
        <w:t>• Standar Format Penamaan File : R2_[NamaDokumen]_BPS_Selayar_2025.pdf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