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F444" w14:textId="42CB6047" w:rsidR="00B10B5A" w:rsidRPr="009008D7" w:rsidRDefault="009008D7" w:rsidP="009008D7">
      <w:pPr>
        <w:jc w:val="center"/>
        <w:rPr>
          <w:rFonts w:asciiTheme="majorBidi" w:hAnsiTheme="majorBidi" w:cstheme="majorBidi"/>
          <w:sz w:val="24"/>
          <w:szCs w:val="24"/>
        </w:rPr>
      </w:pPr>
      <w:r w:rsidRPr="009008D7">
        <w:rPr>
          <w:rFonts w:asciiTheme="majorBidi" w:hAnsiTheme="majorBidi" w:cstheme="majorBidi"/>
          <w:sz w:val="24"/>
          <w:szCs w:val="24"/>
        </w:rPr>
        <w:t>SUMMARY JURNAL PENERAPAN NAIV BAYES</w:t>
      </w:r>
    </w:p>
    <w:tbl>
      <w:tblPr>
        <w:tblStyle w:val="TableGrid"/>
        <w:tblW w:w="10952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5144"/>
        <w:gridCol w:w="3288"/>
      </w:tblGrid>
      <w:tr w:rsidR="009008D7" w:rsidRPr="00A55D48" w14:paraId="271CE496" w14:textId="77777777" w:rsidTr="009008D7">
        <w:tc>
          <w:tcPr>
            <w:tcW w:w="540" w:type="dxa"/>
          </w:tcPr>
          <w:p w14:paraId="2750FB72" w14:textId="77777777" w:rsidR="009008D7" w:rsidRPr="00A55D48" w:rsidRDefault="009008D7" w:rsidP="009008D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980" w:type="dxa"/>
          </w:tcPr>
          <w:p w14:paraId="68CB1BEE" w14:textId="77777777" w:rsidR="009008D7" w:rsidRPr="00A55D48" w:rsidRDefault="009008D7" w:rsidP="009008D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 xml:space="preserve">Title </w:t>
            </w:r>
            <w:proofErr w:type="spellStart"/>
            <w:r w:rsidRPr="00A55D48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5144" w:type="dxa"/>
          </w:tcPr>
          <w:p w14:paraId="52FB594B" w14:textId="77777777" w:rsidR="009008D7" w:rsidRPr="00A55D48" w:rsidRDefault="009008D7" w:rsidP="009008D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Summary</w:t>
            </w:r>
          </w:p>
        </w:tc>
        <w:tc>
          <w:tcPr>
            <w:tcW w:w="3288" w:type="dxa"/>
          </w:tcPr>
          <w:p w14:paraId="0F9D784D" w14:textId="77777777" w:rsidR="009008D7" w:rsidRPr="00A55D48" w:rsidRDefault="009008D7" w:rsidP="009008D7">
            <w:pPr>
              <w:ind w:left="-24" w:hanging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Reference</w:t>
            </w:r>
          </w:p>
        </w:tc>
      </w:tr>
      <w:tr w:rsidR="009008D7" w:rsidRPr="00477C3D" w14:paraId="368E5CE9" w14:textId="77777777" w:rsidTr="009008D7">
        <w:tc>
          <w:tcPr>
            <w:tcW w:w="540" w:type="dxa"/>
          </w:tcPr>
          <w:p w14:paraId="1A7A1454" w14:textId="77777777" w:rsidR="009008D7" w:rsidRPr="00477C3D" w:rsidRDefault="009008D7" w:rsidP="00AD2724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1</w:t>
            </w:r>
          </w:p>
        </w:tc>
        <w:tc>
          <w:tcPr>
            <w:tcW w:w="1980" w:type="dxa"/>
          </w:tcPr>
          <w:p w14:paraId="586A9914" w14:textId="77777777" w:rsidR="009008D7" w:rsidRPr="009008D7" w:rsidRDefault="009008D7" w:rsidP="00AD272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Predicting Students' Academic Performance Through Machine Learning Classifiers: A Study Employing the Naive Bayes Classifier (NBC)</w:t>
            </w:r>
          </w:p>
        </w:tc>
        <w:tc>
          <w:tcPr>
            <w:tcW w:w="5144" w:type="dxa"/>
          </w:tcPr>
          <w:p w14:paraId="0C7F87CF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jurna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kinerja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identifikasi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awal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metode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diterapkan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luas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kinerja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berdasarkan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berbagai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sifat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</w:p>
          <w:p w14:paraId="1389C720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Memanfaatkan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model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pengklasifikasi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Naive Bayes (NBC),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kinerja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memanfaatkan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kemampuan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kuat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melekat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klasifikasi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</w:p>
          <w:p w14:paraId="27A8CF93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meningkatkan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efisiensi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model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mengintegrasikan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dua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optimasi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yaitu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Jellyfish Search Optimizer (JSO) dan Artificial Rabbit Optimization (ARO).</w:t>
            </w:r>
          </w:p>
          <w:p w14:paraId="122FEFAE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analisis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komprehensif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informasi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berkaitan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395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telah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dilakukan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. Hasil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menunjukkan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bahwa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G1, model NBAR,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F1_Score 0,882,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berkinerja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hampir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1,03%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lebih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daripada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model NBJS,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memiliki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F1_Score 0,873.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G3, model NBAR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mengungguli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model NBJS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F1_Score masing-masing 0,893 dan 0,884.</w:t>
            </w:r>
          </w:p>
        </w:tc>
        <w:tc>
          <w:tcPr>
            <w:tcW w:w="3288" w:type="dxa"/>
          </w:tcPr>
          <w:p w14:paraId="540A9F4E" w14:textId="77777777" w:rsidR="009008D7" w:rsidRPr="00C6740C" w:rsidRDefault="009008D7" w:rsidP="00AD2724">
            <w:pPr>
              <w:ind w:left="-24" w:hanging="1"/>
              <w:rPr>
                <w:sz w:val="16"/>
                <w:szCs w:val="16"/>
              </w:rPr>
            </w:pPr>
            <w:r w:rsidRPr="003016E5">
              <w:t>https://thesai.org/Publications/ViewPaper?Volume=15&amp;Issue=1&amp;Code=IJACSA&amp;SerialNo=99</w:t>
            </w:r>
          </w:p>
        </w:tc>
      </w:tr>
      <w:tr w:rsidR="009008D7" w:rsidRPr="00477C3D" w14:paraId="0A0FA8D8" w14:textId="77777777" w:rsidTr="009008D7">
        <w:tc>
          <w:tcPr>
            <w:tcW w:w="540" w:type="dxa"/>
          </w:tcPr>
          <w:p w14:paraId="0E8F2DDD" w14:textId="77777777" w:rsidR="009008D7" w:rsidRPr="00477C3D" w:rsidRDefault="009008D7" w:rsidP="00AD2724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2</w:t>
            </w:r>
          </w:p>
        </w:tc>
        <w:tc>
          <w:tcPr>
            <w:tcW w:w="1980" w:type="dxa"/>
          </w:tcPr>
          <w:p w14:paraId="25DF3B3F" w14:textId="77777777" w:rsidR="009008D7" w:rsidRPr="009008D7" w:rsidRDefault="009008D7" w:rsidP="00AD272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Penerapan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Text Mining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Sistem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Klasifikasi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Email Spam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Naive Bayes</w:t>
            </w:r>
          </w:p>
        </w:tc>
        <w:tc>
          <w:tcPr>
            <w:tcW w:w="5144" w:type="dxa"/>
          </w:tcPr>
          <w:p w14:paraId="7FF0B00E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Dari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dijurnal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dilakukan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menghasilkan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sebuah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perangkat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lunak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penerapan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text mining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sistem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klasifikasi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email spam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metode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naive bayes. </w:t>
            </w:r>
          </w:p>
          <w:p w14:paraId="4F9F16ED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klasifikasi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email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dihitung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probabilitas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berdasarkan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kemunculan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kata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terdapat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data email.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pengujian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keakurasian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sistem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ditampilkan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berupa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grafik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keakurasian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false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positif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false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negatif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253F5618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Hasil uji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coba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menunjukkan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bahwa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aplikasi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layak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dapat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memiliki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keakurasian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sistem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89,6 %</w:t>
            </w:r>
          </w:p>
        </w:tc>
        <w:tc>
          <w:tcPr>
            <w:tcW w:w="3288" w:type="dxa"/>
          </w:tcPr>
          <w:p w14:paraId="09D6A1F3" w14:textId="77777777" w:rsidR="009008D7" w:rsidRPr="003016E5" w:rsidRDefault="009008D7" w:rsidP="00AD2724">
            <w:pPr>
              <w:ind w:left="-24" w:hanging="1"/>
              <w:rPr>
                <w:sz w:val="16"/>
                <w:szCs w:val="16"/>
              </w:rPr>
            </w:pPr>
            <w:r w:rsidRPr="003016E5">
              <w:t>https://www.neliti.com/publications/487630/penerapan-text-mining-pada-sistem-klasifikasi-email-spam-menggunakan-naive-bayes</w:t>
            </w:r>
          </w:p>
        </w:tc>
      </w:tr>
      <w:tr w:rsidR="009008D7" w14:paraId="4F5B102E" w14:textId="77777777" w:rsidTr="009008D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177A" w14:textId="77777777" w:rsidR="009008D7" w:rsidRDefault="009008D7" w:rsidP="00AD27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4EDA" w14:textId="77777777" w:rsidR="009008D7" w:rsidRPr="009008D7" w:rsidRDefault="009008D7" w:rsidP="00AD272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>Classification of Farms for Recommendation of Rice Cultivation Using Naive Bayes and SVM</w:t>
            </w:r>
          </w:p>
        </w:tc>
        <w:tc>
          <w:tcPr>
            <w:tcW w:w="5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EF7D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jurnal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dilatarbelakangi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masalah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identifikasi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pengguna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di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beberapa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jejaring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sosial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(UIAMSNs)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menarik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perhatian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cukup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karena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merupakan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prasyarat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banyak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tugas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aplikasi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</w:p>
          <w:p w14:paraId="4D1376A3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mengatasi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kesulitan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di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atas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kami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mengusulkan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identifikasi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pengguna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berdasarkan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model Bayes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naif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(UI-NBM)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kerangka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kerja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berbasis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fitur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jaringan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7EBB1816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Pertama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indeks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derajat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pencocokan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dirancang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berdasarkan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model Bayes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naif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dapat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mengukur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kontribusi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pasangan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simpul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cocok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umum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(MNP)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berbeda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terhadap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probabilitas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koneksi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pasangan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simpul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tidak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cocok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(UMNP).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Kedua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derajat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cocok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semua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UMNP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dirumuskan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sebagai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produk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matriks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sehingga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menimbulkan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pengurangan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kompleksitas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waktu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ekspresi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kompak</w:t>
            </w:r>
            <w:proofErr w:type="spellEnd"/>
          </w:p>
          <w:p w14:paraId="6A981221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Akhirnya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gagasan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proses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rekursi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lebih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banyak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UMNP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dapat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iteratif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bahkan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ketika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sejumlah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kecil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informasi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sebelumnya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(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yaitu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beberapa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jumlah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MNP)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diketahui</w:t>
            </w:r>
            <w:proofErr w:type="spellEnd"/>
          </w:p>
          <w:p w14:paraId="66FC6BDB" w14:textId="77777777" w:rsidR="009008D7" w:rsidRPr="009008D7" w:rsidRDefault="009008D7" w:rsidP="009008D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Hasil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eksperimen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pada platform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silang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sintetis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nyata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menunjukkan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bahwa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metode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mengungguli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metode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kerangka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kerja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berbasis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fitur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91AA" w14:textId="77777777" w:rsidR="009008D7" w:rsidRPr="00351142" w:rsidRDefault="009008D7" w:rsidP="00AD2724">
            <w:pPr>
              <w:ind w:left="-24" w:hanging="1"/>
              <w:rPr>
                <w:sz w:val="16"/>
                <w:szCs w:val="16"/>
              </w:rPr>
            </w:pPr>
            <w:r w:rsidRPr="00351142">
              <w:lastRenderedPageBreak/>
              <w:t>https://ieeexplore.ieee.org/document/9893090/</w:t>
            </w:r>
          </w:p>
        </w:tc>
      </w:tr>
      <w:tr w:rsidR="009008D7" w:rsidRPr="00477C3D" w14:paraId="44295FDB" w14:textId="77777777" w:rsidTr="009008D7">
        <w:tc>
          <w:tcPr>
            <w:tcW w:w="540" w:type="dxa"/>
          </w:tcPr>
          <w:p w14:paraId="7388A46D" w14:textId="77777777" w:rsidR="009008D7" w:rsidRPr="00477C3D" w:rsidRDefault="009008D7" w:rsidP="00AD27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80" w:type="dxa"/>
          </w:tcPr>
          <w:p w14:paraId="5C18E321" w14:textId="2A274D4D" w:rsidR="009008D7" w:rsidRPr="009008D7" w:rsidRDefault="002B654B" w:rsidP="00AD272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>Analyzing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Credit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Card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Fraud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Cases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gram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With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Supervised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Machine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Learning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Methods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Logistic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Regression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Naïve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t>Bayes</w:t>
            </w:r>
          </w:p>
        </w:tc>
        <w:tc>
          <w:tcPr>
            <w:tcW w:w="5144" w:type="dxa"/>
          </w:tcPr>
          <w:p w14:paraId="41CE5ACE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Kumpulan data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analisis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Penipuan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Kartu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Kredit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diperoleh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database Kaggle,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proses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pemodelan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bersama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metode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regresi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Logistik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Naive Bayes</w:t>
            </w:r>
          </w:p>
          <w:p w14:paraId="247E674E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Tujuan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adalah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mengidentifikasi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siapa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melakukan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transaksi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memeriksa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periode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ketika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orang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kartu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kredit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mereka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204DE657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Pendekatan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regresi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logistik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metode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Naive Bayes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keduanya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memiliki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tingkat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keberhasilan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99,83%,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merupakan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tertinggi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. Hasil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kedua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metode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didasarkan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pada kappa Cohen,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presisi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ingatan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metrik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lainnya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3288" w:type="dxa"/>
          </w:tcPr>
          <w:p w14:paraId="678A6AA0" w14:textId="77777777" w:rsidR="009008D7" w:rsidRPr="00477C3D" w:rsidRDefault="009008D7" w:rsidP="00AD2724">
            <w:pPr>
              <w:ind w:left="-24" w:hanging="1"/>
              <w:rPr>
                <w:sz w:val="16"/>
                <w:szCs w:val="16"/>
              </w:rPr>
            </w:pPr>
            <w:r w:rsidRPr="00815D76">
              <w:rPr>
                <w:sz w:val="16"/>
                <w:szCs w:val="16"/>
              </w:rPr>
              <w:t>http://dx.doi.org/10.25045/jpis.v15.i1.06</w:t>
            </w:r>
          </w:p>
        </w:tc>
      </w:tr>
      <w:tr w:rsidR="009008D7" w:rsidRPr="00477C3D" w14:paraId="65F4CBC4" w14:textId="77777777" w:rsidTr="009008D7">
        <w:tc>
          <w:tcPr>
            <w:tcW w:w="540" w:type="dxa"/>
          </w:tcPr>
          <w:p w14:paraId="024F2556" w14:textId="77777777" w:rsidR="009008D7" w:rsidRPr="00477C3D" w:rsidRDefault="009008D7" w:rsidP="00AD27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80" w:type="dxa"/>
          </w:tcPr>
          <w:p w14:paraId="31580060" w14:textId="77777777" w:rsidR="009008D7" w:rsidRPr="009008D7" w:rsidRDefault="009008D7" w:rsidP="00AD272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Implementasi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Naïve Bayes Classifier dan K-Nearest Neighbor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Klasifikasi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Penyakit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Ginjal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Kronik</w:t>
            </w:r>
            <w:proofErr w:type="spellEnd"/>
          </w:p>
        </w:tc>
        <w:tc>
          <w:tcPr>
            <w:tcW w:w="5144" w:type="dxa"/>
          </w:tcPr>
          <w:p w14:paraId="18133C32" w14:textId="7E9D3769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latar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belakang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802088">
              <w:rPr>
                <w:rFonts w:asciiTheme="majorBidi" w:hAnsiTheme="majorBidi" w:cstheme="majorBidi"/>
                <w:sz w:val="20"/>
                <w:szCs w:val="20"/>
              </w:rPr>
              <w:t xml:space="preserve">di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="00802088">
              <w:rPr>
                <w:rFonts w:asciiTheme="majorBidi" w:hAnsiTheme="majorBidi" w:cstheme="majorBidi"/>
                <w:sz w:val="20"/>
                <w:szCs w:val="20"/>
              </w:rPr>
              <w:t>jurnal</w:t>
            </w:r>
            <w:proofErr w:type="spellEnd"/>
            <w:r w:rsidR="0080208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adalah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jumlah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prelevansi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penderita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Penyakit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Ginjal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Kronik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di Indonesia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terbilang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Penyakit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ginjal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kronik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ialah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kondisi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di mana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ginjal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mengalami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penurunan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fungsi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berlangsung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jangka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waktu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lama.</w:t>
            </w:r>
          </w:p>
          <w:p w14:paraId="34F90210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Berdasarkan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Hasil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diperoleh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klasifikasi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PGK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NBC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memiliki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94,25%, rata-rata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recall 94,23%,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presisi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98,40% dan AUC 0,961,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Sedangkan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klasifikasi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KNN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memiliki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77,79%, recall 95,06%,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presisi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80,20% dan AUC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0,627. </w:t>
            </w:r>
          </w:p>
          <w:p w14:paraId="4FD0E69E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Dari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kedua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hasil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menunjukan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bahwa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klasifikasi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NBC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lebih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dibanding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proofErr w:type="gram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KNN.</w:t>
            </w:r>
          </w:p>
        </w:tc>
        <w:tc>
          <w:tcPr>
            <w:tcW w:w="3288" w:type="dxa"/>
          </w:tcPr>
          <w:p w14:paraId="1C2C2E31" w14:textId="77777777" w:rsidR="009008D7" w:rsidRPr="00477C3D" w:rsidRDefault="009008D7" w:rsidP="00AD2724">
            <w:pPr>
              <w:ind w:left="-24" w:hanging="1"/>
              <w:rPr>
                <w:sz w:val="16"/>
                <w:szCs w:val="16"/>
              </w:rPr>
            </w:pPr>
            <w:r w:rsidRPr="000C0FB9">
              <w:rPr>
                <w:sz w:val="16"/>
                <w:szCs w:val="16"/>
              </w:rPr>
              <w:t>https://journal.irpi.or.id/index.php/malcom/article/view/1229</w:t>
            </w:r>
          </w:p>
        </w:tc>
      </w:tr>
      <w:tr w:rsidR="009008D7" w:rsidRPr="00477C3D" w14:paraId="454BD989" w14:textId="77777777" w:rsidTr="009008D7">
        <w:tc>
          <w:tcPr>
            <w:tcW w:w="540" w:type="dxa"/>
          </w:tcPr>
          <w:p w14:paraId="7B3A005B" w14:textId="77777777" w:rsidR="009008D7" w:rsidRPr="00477C3D" w:rsidRDefault="009008D7" w:rsidP="00AD27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980" w:type="dxa"/>
          </w:tcPr>
          <w:p w14:paraId="7B2CA14F" w14:textId="77777777" w:rsidR="009008D7" w:rsidRPr="009008D7" w:rsidRDefault="009008D7" w:rsidP="00AD272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Risiko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Stunting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Keluarga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Naïve Bayes Classifier dan Chi-Square</w:t>
            </w:r>
          </w:p>
        </w:tc>
        <w:tc>
          <w:tcPr>
            <w:tcW w:w="5144" w:type="dxa"/>
          </w:tcPr>
          <w:p w14:paraId="7A355672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jurnal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ditulis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berdasarkan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Meningkatnya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kasus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stunting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balita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memerlukan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suatu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upaya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penanganan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pencegahan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</w:p>
          <w:p w14:paraId="6B425244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Terdapat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17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atribut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pada data stunting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harus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diperhatikan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banyaknya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atribut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tersebut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menyebabkan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sulitnya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menemukan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atribut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paling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berpengaruh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stunting. </w:t>
            </w:r>
          </w:p>
          <w:p w14:paraId="6A5AE879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diterapkan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seleksi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fitur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Chi Square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menerapkan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Naïve Bayes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menemukan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atribut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harus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diprioritaskan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stunting.</w:t>
            </w:r>
          </w:p>
          <w:p w14:paraId="3C9547D8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Hasil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Naive bayes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saja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didapatkan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94,3 %,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recall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93,9 %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precision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93,93%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waktu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0,07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detik</w:t>
            </w:r>
            <w:proofErr w:type="spellEnd"/>
          </w:p>
          <w:p w14:paraId="45F1F3CC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Sedangkan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menerapkan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seleksi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fitur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Chi square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diperoleh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5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atribut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paling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berpengaruh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terhadap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stunting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dapat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meningkatkan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kecepatan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pembentukkan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model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Naiva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Bayes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waktu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0,01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detik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namun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tidak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dapat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meningkatkan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recall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presisi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3288" w:type="dxa"/>
          </w:tcPr>
          <w:p w14:paraId="6E22BA24" w14:textId="77777777" w:rsidR="009008D7" w:rsidRPr="00477C3D" w:rsidRDefault="009008D7" w:rsidP="00AD2724">
            <w:pPr>
              <w:ind w:left="-24" w:hanging="1"/>
              <w:rPr>
                <w:sz w:val="16"/>
                <w:szCs w:val="16"/>
              </w:rPr>
            </w:pPr>
            <w:r w:rsidRPr="000C6B84">
              <w:rPr>
                <w:sz w:val="16"/>
                <w:szCs w:val="16"/>
              </w:rPr>
              <w:t>https://journal.irpi.or.id/index.php/malcom/article/view/1074</w:t>
            </w:r>
          </w:p>
        </w:tc>
      </w:tr>
      <w:tr w:rsidR="009008D7" w:rsidRPr="00477C3D" w14:paraId="1992C48F" w14:textId="77777777" w:rsidTr="009008D7">
        <w:tc>
          <w:tcPr>
            <w:tcW w:w="540" w:type="dxa"/>
          </w:tcPr>
          <w:p w14:paraId="09E52A53" w14:textId="77777777" w:rsidR="009008D7" w:rsidRPr="00477C3D" w:rsidRDefault="009008D7" w:rsidP="00AD27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80" w:type="dxa"/>
          </w:tcPr>
          <w:p w14:paraId="3795658E" w14:textId="77777777" w:rsidR="009008D7" w:rsidRPr="009008D7" w:rsidRDefault="009008D7" w:rsidP="00AD272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Dampak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Pembelajaran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Hybrid Learning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Naive Bayes</w:t>
            </w:r>
          </w:p>
        </w:tc>
        <w:tc>
          <w:tcPr>
            <w:tcW w:w="5144" w:type="dxa"/>
          </w:tcPr>
          <w:p w14:paraId="7965C349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jurnal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dampak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pembelajaran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hybrid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terhadap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mahasiswa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Politeknik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Negeri Medan</w:t>
            </w:r>
          </w:p>
          <w:p w14:paraId="5001CB65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Data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sampel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berasal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mahasiswa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Program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Studi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Teknologi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Rekayasa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Perangkat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Lunak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Politeknik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Negeri Medan</w:t>
            </w:r>
          </w:p>
          <w:p w14:paraId="6FE4AF8A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Hasil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dilakukan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manual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naïve bayes,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data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latihan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100 (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seratus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data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1 (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satu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menghasilkan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hasil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0,012,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mengindikasikan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adanya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peningkatan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hasil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akademik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332F36C5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Hasil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pengujian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dibuktikan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bahasa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pemrograman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phyton. Hasil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pertama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data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20%,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menghasilkan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peningkatan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hasil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akademik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86%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sekitar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13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80%,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kedua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data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40%,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menghasilkan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peningkatan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hasil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akademik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92%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sekitar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29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88%.</w:t>
            </w:r>
          </w:p>
        </w:tc>
        <w:tc>
          <w:tcPr>
            <w:tcW w:w="3288" w:type="dxa"/>
          </w:tcPr>
          <w:p w14:paraId="3555044D" w14:textId="77777777" w:rsidR="009008D7" w:rsidRPr="00477C3D" w:rsidRDefault="009008D7" w:rsidP="00AD2724">
            <w:pPr>
              <w:ind w:left="-24" w:hanging="1"/>
              <w:rPr>
                <w:sz w:val="16"/>
                <w:szCs w:val="16"/>
              </w:rPr>
            </w:pPr>
            <w:r w:rsidRPr="002B14F9">
              <w:rPr>
                <w:sz w:val="16"/>
                <w:szCs w:val="16"/>
              </w:rPr>
              <w:lastRenderedPageBreak/>
              <w:t>https://journal.fkpt.org/index.php/BIT/article/view/968</w:t>
            </w:r>
          </w:p>
        </w:tc>
      </w:tr>
      <w:tr w:rsidR="009008D7" w:rsidRPr="00477C3D" w14:paraId="20D8783C" w14:textId="77777777" w:rsidTr="009008D7">
        <w:tc>
          <w:tcPr>
            <w:tcW w:w="540" w:type="dxa"/>
          </w:tcPr>
          <w:p w14:paraId="2E8B5979" w14:textId="77777777" w:rsidR="009008D7" w:rsidRPr="00477C3D" w:rsidRDefault="009008D7" w:rsidP="00AD27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980" w:type="dxa"/>
          </w:tcPr>
          <w:p w14:paraId="32F44149" w14:textId="77777777" w:rsidR="009008D7" w:rsidRPr="009008D7" w:rsidRDefault="009008D7" w:rsidP="00AD272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Komparasi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K-NN, Naive Bayes dan SVM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Kelulusan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Mahasiswa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Tingkat Akhir</w:t>
            </w:r>
          </w:p>
        </w:tc>
        <w:tc>
          <w:tcPr>
            <w:tcW w:w="5144" w:type="dxa"/>
          </w:tcPr>
          <w:p w14:paraId="5F796E8D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jurnal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pemilihan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penentuan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data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diambil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data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publik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379 orang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mahasiswa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tahap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akhir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sebagai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responden</w:t>
            </w:r>
            <w:proofErr w:type="spellEnd"/>
          </w:p>
          <w:p w14:paraId="5092F9AE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Pengujian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membandingkan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K-NN, NBC, dan SVM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lebih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menyelesaikan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masalah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terkait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tingkat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kelulusan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mahasiswa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pascasarjana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3181559D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Berdasarkan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perbandingan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tersebut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teknik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splitting data,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didapatkan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bahwa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Algoritma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K-NN (K-Nearest Neighbor)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memiliki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rata-rata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lebih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tinggi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dibandingkan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(NBC) Naïve Bayes Classifier dan SVM (Support Vector Machine)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kelulusan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mahasiswa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tingkat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akhir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87,8%,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presisi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87,8%, dan recall 84%.</w:t>
            </w:r>
          </w:p>
        </w:tc>
        <w:tc>
          <w:tcPr>
            <w:tcW w:w="3288" w:type="dxa"/>
          </w:tcPr>
          <w:p w14:paraId="49BE33DD" w14:textId="77777777" w:rsidR="009008D7" w:rsidRPr="00477C3D" w:rsidRDefault="009008D7" w:rsidP="00AD2724">
            <w:pPr>
              <w:ind w:left="-24" w:hanging="1"/>
              <w:rPr>
                <w:sz w:val="16"/>
                <w:szCs w:val="16"/>
              </w:rPr>
            </w:pPr>
            <w:r w:rsidRPr="0091471B">
              <w:rPr>
                <w:sz w:val="16"/>
                <w:szCs w:val="16"/>
              </w:rPr>
              <w:t>https://journal.irpi.or.id/index.php/malcom/article/view/610</w:t>
            </w:r>
          </w:p>
        </w:tc>
      </w:tr>
      <w:tr w:rsidR="009008D7" w:rsidRPr="00477C3D" w14:paraId="4EB1EB90" w14:textId="77777777" w:rsidTr="009008D7">
        <w:tc>
          <w:tcPr>
            <w:tcW w:w="540" w:type="dxa"/>
          </w:tcPr>
          <w:p w14:paraId="2B894C32" w14:textId="77777777" w:rsidR="009008D7" w:rsidRPr="00477C3D" w:rsidRDefault="009008D7" w:rsidP="00AD27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980" w:type="dxa"/>
          </w:tcPr>
          <w:p w14:paraId="4D3CEF0F" w14:textId="77777777" w:rsidR="009008D7" w:rsidRPr="009008D7" w:rsidRDefault="009008D7" w:rsidP="00AD272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Penerapan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metode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machine learning - naive bayes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analisis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sentimen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pemindahan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ibu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kota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negara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5144" w:type="dxa"/>
          </w:tcPr>
          <w:p w14:paraId="35ABE492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bertujuan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menganalisis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sentimen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masyarakat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terhadap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pemindahan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ibu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kota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negara (IKN) pada twitter di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tahun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2023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apakah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masih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menjadi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suatu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kontroversi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atau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sudah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lebih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beraroma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positif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dibandingkan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opini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masyarakat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saat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pertama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kali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isu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naik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media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sosial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di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tahun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2019</w:t>
            </w:r>
          </w:p>
          <w:p w14:paraId="1E6C91E1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Hasil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diperoleh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analisis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sentimen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terhadap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pemindahan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ibu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kota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negara (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ikn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baru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presentase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positif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55,85%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sentimen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negatif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45,15</w:t>
            </w:r>
          </w:p>
          <w:p w14:paraId="46251A3D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artinya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respon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masyarakat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terhadap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isu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IKN di media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sosial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tahun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2023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sudah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lebih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banyak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positif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menerima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pemindahan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ibu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kota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negara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segala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urgensinya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dibandingkan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pada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tahun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2019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saat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Presiden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Joko Widodo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pertama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kali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mengumumkan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wacana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tersebut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186C642A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Diperoleh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(accuracy)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sebesar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99,12%,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recall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hasil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negatif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yaitu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98,37%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hasil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positif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99,71%.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Kemudian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precision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pred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negatif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yaitu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99,63% dan pred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positif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99,72%</w:t>
            </w:r>
          </w:p>
          <w:p w14:paraId="114B561C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demikian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maka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metode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naïve bayes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memiliki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nilai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cukup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tinggi</w:t>
            </w:r>
            <w:proofErr w:type="spellEnd"/>
          </w:p>
        </w:tc>
        <w:tc>
          <w:tcPr>
            <w:tcW w:w="3288" w:type="dxa"/>
          </w:tcPr>
          <w:p w14:paraId="12332227" w14:textId="77777777" w:rsidR="009008D7" w:rsidRPr="00477C3D" w:rsidRDefault="009008D7" w:rsidP="00AD2724">
            <w:pPr>
              <w:ind w:left="-24" w:hanging="1"/>
              <w:rPr>
                <w:sz w:val="16"/>
                <w:szCs w:val="16"/>
              </w:rPr>
            </w:pPr>
            <w:r w:rsidRPr="00A860CE">
              <w:rPr>
                <w:sz w:val="16"/>
                <w:szCs w:val="16"/>
              </w:rPr>
              <w:t>https://ojs3.unpatti.ac.id/index.php/parameter/article/view/9216</w:t>
            </w:r>
          </w:p>
        </w:tc>
      </w:tr>
      <w:tr w:rsidR="009008D7" w:rsidRPr="00477C3D" w14:paraId="1DBF2BBD" w14:textId="77777777" w:rsidTr="009008D7">
        <w:tc>
          <w:tcPr>
            <w:tcW w:w="540" w:type="dxa"/>
          </w:tcPr>
          <w:p w14:paraId="1AA6D266" w14:textId="77777777" w:rsidR="009008D7" w:rsidRDefault="009008D7" w:rsidP="00AD27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980" w:type="dxa"/>
          </w:tcPr>
          <w:p w14:paraId="0CE259CA" w14:textId="77777777" w:rsidR="009008D7" w:rsidRPr="009008D7" w:rsidRDefault="009008D7" w:rsidP="00AD272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Comparison of Naive Bayes, K-Nearest Neighbor, and Support Vector Machine </w:t>
            </w:r>
            <w:r w:rsidRPr="009008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Classification Methods in Semi-Supervised Learning for Sentiment Analysis of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Kereta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Cepat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Jakarta Bandung (KCJB)</w:t>
            </w:r>
          </w:p>
        </w:tc>
        <w:tc>
          <w:tcPr>
            <w:tcW w:w="5144" w:type="dxa"/>
          </w:tcPr>
          <w:p w14:paraId="629B5FD7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Penelitian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ini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bertujuan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membandingkan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metode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klasifikasi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Naïve Bayes, K-Nearest Neighbor (K-NN), dan Support Vector Machine (SVM)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mengklasifikasikan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sentimen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tweet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tentang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kereta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berkecepatan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tinggi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diperoleh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kumpulan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tweet di Twitter</w:t>
            </w:r>
          </w:p>
          <w:p w14:paraId="7DB8A38D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Proses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perbandingan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dilakukan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menggunakan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semi-supervised learning,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hasilnya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menunjukkan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bahwa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model SVM semi-supervised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memiliki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kinerja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terbaik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rata-rata 86%,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diikuti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oleh model semi-supervised Naïve Bayes dan semi-supervised K-NN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akurasi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rata-rata masing-masing 81% dan 58%.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keseluruhan</w:t>
            </w:r>
            <w:proofErr w:type="spellEnd"/>
          </w:p>
          <w:p w14:paraId="2F67605E" w14:textId="77777777" w:rsidR="009008D7" w:rsidRPr="009008D7" w:rsidRDefault="009008D7" w:rsidP="009008D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hasil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prediksi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ketiga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model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tersebut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menyimpulkan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bahwa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ada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lebih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banyak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tweet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sentimen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negatif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daripada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tweet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sentimen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positif</w:t>
            </w:r>
            <w:proofErr w:type="spellEnd"/>
            <w:r w:rsidRPr="009008D7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9008D7">
              <w:rPr>
                <w:rFonts w:asciiTheme="majorBidi" w:hAnsiTheme="majorBidi" w:cstheme="majorBidi"/>
                <w:sz w:val="20"/>
                <w:szCs w:val="20"/>
              </w:rPr>
              <w:t>netral</w:t>
            </w:r>
            <w:proofErr w:type="spellEnd"/>
          </w:p>
        </w:tc>
        <w:tc>
          <w:tcPr>
            <w:tcW w:w="3288" w:type="dxa"/>
          </w:tcPr>
          <w:p w14:paraId="2BE8D1A3" w14:textId="77777777" w:rsidR="009008D7" w:rsidRPr="00A860CE" w:rsidRDefault="009008D7" w:rsidP="00AD2724">
            <w:pPr>
              <w:ind w:left="-24" w:hanging="1"/>
              <w:rPr>
                <w:sz w:val="16"/>
                <w:szCs w:val="16"/>
              </w:rPr>
            </w:pPr>
            <w:r w:rsidRPr="002C6132">
              <w:rPr>
                <w:sz w:val="16"/>
                <w:szCs w:val="16"/>
              </w:rPr>
              <w:lastRenderedPageBreak/>
              <w:t>https://proceedings.stis.ac.id/icdsos/article/view/332</w:t>
            </w:r>
          </w:p>
        </w:tc>
      </w:tr>
    </w:tbl>
    <w:p w14:paraId="0F396128" w14:textId="77777777" w:rsidR="009008D7" w:rsidRPr="00477C3D" w:rsidRDefault="009008D7">
      <w:pPr>
        <w:rPr>
          <w:sz w:val="16"/>
          <w:szCs w:val="16"/>
        </w:rPr>
      </w:pPr>
    </w:p>
    <w:sectPr w:rsidR="009008D7" w:rsidRPr="00477C3D" w:rsidSect="0090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DCD7" w14:textId="77777777" w:rsidR="00677823" w:rsidRDefault="00677823" w:rsidP="009008D7">
      <w:pPr>
        <w:spacing w:after="0" w:line="240" w:lineRule="auto"/>
      </w:pPr>
      <w:r>
        <w:separator/>
      </w:r>
    </w:p>
  </w:endnote>
  <w:endnote w:type="continuationSeparator" w:id="0">
    <w:p w14:paraId="655C4E5D" w14:textId="77777777" w:rsidR="00677823" w:rsidRDefault="00677823" w:rsidP="0090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DED6" w14:textId="77777777" w:rsidR="00677823" w:rsidRDefault="00677823" w:rsidP="009008D7">
      <w:pPr>
        <w:spacing w:after="0" w:line="240" w:lineRule="auto"/>
      </w:pPr>
      <w:r>
        <w:separator/>
      </w:r>
    </w:p>
  </w:footnote>
  <w:footnote w:type="continuationSeparator" w:id="0">
    <w:p w14:paraId="6CD33D97" w14:textId="77777777" w:rsidR="00677823" w:rsidRDefault="00677823" w:rsidP="00900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114BB"/>
    <w:multiLevelType w:val="hybridMultilevel"/>
    <w:tmpl w:val="DFD0C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153621"/>
    <w:multiLevelType w:val="hybridMultilevel"/>
    <w:tmpl w:val="A8D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D6B88"/>
    <w:multiLevelType w:val="hybridMultilevel"/>
    <w:tmpl w:val="0330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5489"/>
    <w:multiLevelType w:val="hybridMultilevel"/>
    <w:tmpl w:val="A116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F03CF"/>
    <w:multiLevelType w:val="hybridMultilevel"/>
    <w:tmpl w:val="8ABC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43592"/>
    <w:multiLevelType w:val="hybridMultilevel"/>
    <w:tmpl w:val="BF58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13DEA"/>
    <w:multiLevelType w:val="hybridMultilevel"/>
    <w:tmpl w:val="EB0C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9043D"/>
    <w:multiLevelType w:val="hybridMultilevel"/>
    <w:tmpl w:val="A296C032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8" w15:restartNumberingAfterBreak="0">
    <w:nsid w:val="79712997"/>
    <w:multiLevelType w:val="hybridMultilevel"/>
    <w:tmpl w:val="A2B8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81A3F"/>
    <w:multiLevelType w:val="hybridMultilevel"/>
    <w:tmpl w:val="175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12"/>
    <w:rsid w:val="000C0FB9"/>
    <w:rsid w:val="000C6B84"/>
    <w:rsid w:val="00111562"/>
    <w:rsid w:val="0012645D"/>
    <w:rsid w:val="0013071E"/>
    <w:rsid w:val="00163FF8"/>
    <w:rsid w:val="001C57DA"/>
    <w:rsid w:val="002103C9"/>
    <w:rsid w:val="002B14F9"/>
    <w:rsid w:val="002B654B"/>
    <w:rsid w:val="002C6132"/>
    <w:rsid w:val="003016E5"/>
    <w:rsid w:val="00301710"/>
    <w:rsid w:val="00351142"/>
    <w:rsid w:val="00397B40"/>
    <w:rsid w:val="0047778A"/>
    <w:rsid w:val="00477C3D"/>
    <w:rsid w:val="005C4A82"/>
    <w:rsid w:val="00677823"/>
    <w:rsid w:val="007435AE"/>
    <w:rsid w:val="00802088"/>
    <w:rsid w:val="00815D76"/>
    <w:rsid w:val="0082763D"/>
    <w:rsid w:val="009008D7"/>
    <w:rsid w:val="0091471B"/>
    <w:rsid w:val="00941F2A"/>
    <w:rsid w:val="00991015"/>
    <w:rsid w:val="009C4D12"/>
    <w:rsid w:val="00A134E0"/>
    <w:rsid w:val="00A55D48"/>
    <w:rsid w:val="00A860CE"/>
    <w:rsid w:val="00B10B5A"/>
    <w:rsid w:val="00B605B0"/>
    <w:rsid w:val="00BD700C"/>
    <w:rsid w:val="00C6740C"/>
    <w:rsid w:val="00D952BF"/>
    <w:rsid w:val="00E53F90"/>
    <w:rsid w:val="00F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622B"/>
  <w15:chartTrackingRefBased/>
  <w15:docId w15:val="{76027A07-9C7B-4A9C-9617-E6229BFB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7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8D7"/>
  </w:style>
  <w:style w:type="paragraph" w:styleId="Footer">
    <w:name w:val="footer"/>
    <w:basedOn w:val="Normal"/>
    <w:link w:val="FooterChar"/>
    <w:uiPriority w:val="99"/>
    <w:unhideWhenUsed/>
    <w:rsid w:val="00900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376A-CF5D-491A-A05F-194F18D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ASEP RIDWAN</cp:lastModifiedBy>
  <cp:revision>25</cp:revision>
  <dcterms:created xsi:type="dcterms:W3CDTF">2024-03-21T23:16:00Z</dcterms:created>
  <dcterms:modified xsi:type="dcterms:W3CDTF">2024-05-07T06:33:00Z</dcterms:modified>
</cp:coreProperties>
</file>