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0CDF9" w14:textId="5F42FC67" w:rsidR="003D5D97" w:rsidRPr="00BD240E" w:rsidRDefault="003D5D97" w:rsidP="00BD240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D240E">
        <w:rPr>
          <w:rFonts w:asciiTheme="majorBidi" w:hAnsiTheme="majorBidi" w:cstheme="majorBidi"/>
          <w:b/>
          <w:bCs/>
          <w:sz w:val="24"/>
          <w:szCs w:val="24"/>
        </w:rPr>
        <w:t>TUGAS AUDIT DAN TATA KELOLA IT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800"/>
        <w:gridCol w:w="265"/>
        <w:gridCol w:w="3605"/>
      </w:tblGrid>
      <w:tr w:rsidR="003D5D97" w:rsidRPr="003D5D97" w14:paraId="5E99C477" w14:textId="77777777" w:rsidTr="003D5D97">
        <w:tc>
          <w:tcPr>
            <w:tcW w:w="1165" w:type="dxa"/>
          </w:tcPr>
          <w:p w14:paraId="008A913E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5EF2AB72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EA82FE6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800" w:type="dxa"/>
          </w:tcPr>
          <w:p w14:paraId="354256AF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265" w:type="dxa"/>
          </w:tcPr>
          <w:p w14:paraId="4D044008" w14:textId="77777777" w:rsidR="003D5D97" w:rsidRPr="003D5D97" w:rsidRDefault="003D5D97" w:rsidP="000F4236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37193F2F" w14:textId="2A00938E" w:rsidR="003D5D97" w:rsidRPr="003D5D97" w:rsidRDefault="003D5D97" w:rsidP="000F4236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AUDIT dan Tata Kelola IT</w:t>
            </w:r>
          </w:p>
        </w:tc>
      </w:tr>
      <w:tr w:rsidR="003D5D97" w:rsidRPr="003D5D97" w14:paraId="71B700E6" w14:textId="77777777" w:rsidTr="003D5D97">
        <w:tc>
          <w:tcPr>
            <w:tcW w:w="1165" w:type="dxa"/>
          </w:tcPr>
          <w:p w14:paraId="4C12F3A1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0E193EA2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798489D7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800" w:type="dxa"/>
          </w:tcPr>
          <w:p w14:paraId="6CA8F7C3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265" w:type="dxa"/>
          </w:tcPr>
          <w:p w14:paraId="2935DB05" w14:textId="77777777" w:rsidR="003D5D97" w:rsidRPr="003D5D97" w:rsidRDefault="003D5D97" w:rsidP="000F4236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122006F1" w14:textId="77777777" w:rsidR="003D5D97" w:rsidRPr="003D5D97" w:rsidRDefault="003D5D97" w:rsidP="000F4236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proofErr w:type="spellStart"/>
            <w:r w:rsidRPr="003D5D97">
              <w:rPr>
                <w:rFonts w:asciiTheme="majorBidi" w:hAnsiTheme="majorBidi" w:cstheme="majorBidi"/>
              </w:rPr>
              <w:t>Tugas</w:t>
            </w:r>
            <w:proofErr w:type="spellEnd"/>
            <w:r w:rsidRPr="003D5D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D5D97">
              <w:rPr>
                <w:rFonts w:asciiTheme="majorBidi" w:hAnsiTheme="majorBidi" w:cstheme="majorBidi"/>
              </w:rPr>
              <w:t>kelas</w:t>
            </w:r>
            <w:proofErr w:type="spellEnd"/>
            <w:r w:rsidRPr="003D5D97">
              <w:rPr>
                <w:rFonts w:asciiTheme="majorBidi" w:hAnsiTheme="majorBidi" w:cstheme="majorBidi"/>
              </w:rPr>
              <w:t xml:space="preserve"> 9 November</w:t>
            </w:r>
          </w:p>
        </w:tc>
      </w:tr>
      <w:tr w:rsidR="003D5D97" w:rsidRPr="003D5D97" w14:paraId="661467F6" w14:textId="77777777" w:rsidTr="003D5D97">
        <w:tc>
          <w:tcPr>
            <w:tcW w:w="1165" w:type="dxa"/>
          </w:tcPr>
          <w:p w14:paraId="14AA5DFC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66E44BB6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F3963AD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800" w:type="dxa"/>
          </w:tcPr>
          <w:p w14:paraId="37B1C687" w14:textId="77777777" w:rsidR="003D5D97" w:rsidRPr="003D5D97" w:rsidRDefault="003D5D97" w:rsidP="000F4236">
            <w:pPr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265" w:type="dxa"/>
          </w:tcPr>
          <w:p w14:paraId="3A1A0B59" w14:textId="77777777" w:rsidR="003D5D97" w:rsidRPr="003D5D97" w:rsidRDefault="003D5D97" w:rsidP="000F4236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3D5D9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14323B2A" w14:textId="7EF8D7F6" w:rsidR="003D5D97" w:rsidRPr="003D5D97" w:rsidRDefault="00BD240E" w:rsidP="000F4236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</w:rPr>
              <w:t>Winarni</w:t>
            </w:r>
            <w:proofErr w:type="spellEnd"/>
            <w:r>
              <w:rPr>
                <w:rFonts w:asciiTheme="majorBidi" w:hAnsiTheme="majorBidi" w:cstheme="majorBidi"/>
              </w:rPr>
              <w:t xml:space="preserve"> S.T, M.T.I.</w:t>
            </w:r>
          </w:p>
        </w:tc>
      </w:tr>
    </w:tbl>
    <w:p w14:paraId="7B588586" w14:textId="77777777" w:rsidR="003D5D97" w:rsidRPr="003D5D97" w:rsidRDefault="003D5D97" w:rsidP="003D5D9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46D55E5" w14:textId="3062ACEF" w:rsidR="0020281F" w:rsidRPr="003D5D97" w:rsidRDefault="00BD240E" w:rsidP="003D5D9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7 </w:t>
      </w:r>
      <w:r w:rsidR="003D5D97" w:rsidRPr="003D5D97">
        <w:rPr>
          <w:rFonts w:asciiTheme="majorBidi" w:hAnsiTheme="majorBidi" w:cstheme="majorBidi"/>
          <w:b/>
          <w:bCs/>
          <w:sz w:val="24"/>
          <w:szCs w:val="24"/>
        </w:rPr>
        <w:t>KOMPONEN-KOMPONEN DALAM GOVERNANCE SYSTEM</w:t>
      </w:r>
    </w:p>
    <w:p w14:paraId="047F572B" w14:textId="39494927" w:rsidR="00842D71" w:rsidRPr="003D5D97" w:rsidRDefault="00653225" w:rsidP="003D5D97">
      <w:pPr>
        <w:spacing w:line="360" w:lineRule="auto"/>
        <w:ind w:firstLine="408"/>
        <w:jc w:val="both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 xml:space="preserve">Framework COBIT 2019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tujuh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inti yang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mempertahankan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(IT)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Komponen-komponen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saling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berinteraksi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holistik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7458A5" w:rsidRPr="003D5D97">
        <w:rPr>
          <w:rFonts w:asciiTheme="majorBidi" w:hAnsiTheme="majorBidi" w:cstheme="majorBidi"/>
          <w:sz w:val="24"/>
          <w:szCs w:val="24"/>
        </w:rPr>
        <w:t>.</w:t>
      </w:r>
    </w:p>
    <w:p w14:paraId="34F06F03" w14:textId="77777777" w:rsidR="007458A5" w:rsidRPr="003D5D97" w:rsidRDefault="007458A5" w:rsidP="00E20B1B">
      <w:pPr>
        <w:ind w:firstLine="408"/>
        <w:jc w:val="both"/>
        <w:rPr>
          <w:rFonts w:asciiTheme="majorBidi" w:hAnsiTheme="majorBidi" w:cstheme="majorBidi"/>
          <w:sz w:val="24"/>
          <w:szCs w:val="24"/>
        </w:rPr>
      </w:pPr>
    </w:p>
    <w:p w14:paraId="684A8914" w14:textId="0E79BB41" w:rsidR="007458A5" w:rsidRPr="003D5D97" w:rsidRDefault="007458A5" w:rsidP="007458A5">
      <w:pPr>
        <w:ind w:firstLine="408"/>
        <w:jc w:val="center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11712C" wp14:editId="0B2F868B">
            <wp:extent cx="3436620" cy="2383972"/>
            <wp:effectExtent l="0" t="0" r="0" b="0"/>
            <wp:docPr id="212840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03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860" cy="23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ED55" w14:textId="0975C346" w:rsidR="0020281F" w:rsidRPr="003D5D97" w:rsidRDefault="007458A5" w:rsidP="007458A5">
      <w:pPr>
        <w:jc w:val="center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b/>
          <w:bCs/>
          <w:sz w:val="24"/>
          <w:szCs w:val="24"/>
        </w:rPr>
        <w:t>Gambar 1.1</w:t>
      </w:r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COBIT Governance System</w:t>
      </w:r>
    </w:p>
    <w:p w14:paraId="28EAFAB7" w14:textId="7CC0E481" w:rsidR="0020281F" w:rsidRPr="003D5D97" w:rsidRDefault="007458A5" w:rsidP="00270D5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>Gambar</w:t>
      </w:r>
      <w:r w:rsidR="0077037D" w:rsidRPr="003D5D97">
        <w:rPr>
          <w:rFonts w:asciiTheme="majorBidi" w:hAnsiTheme="majorBidi" w:cstheme="majorBidi"/>
          <w:sz w:val="24"/>
          <w:szCs w:val="24"/>
        </w:rPr>
        <w:t xml:space="preserve"> 2.1</w:t>
      </w:r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tujuh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COBIT </w:t>
      </w:r>
      <w:r w:rsidR="0077037D" w:rsidRPr="003D5D97">
        <w:rPr>
          <w:rFonts w:asciiTheme="majorBidi" w:hAnsiTheme="majorBidi" w:cstheme="majorBidi"/>
          <w:sz w:val="24"/>
          <w:szCs w:val="24"/>
        </w:rPr>
        <w:t xml:space="preserve">Governance system, Adapun </w:t>
      </w:r>
      <w:proofErr w:type="spellStart"/>
      <w:r w:rsidR="0077037D" w:rsidRPr="003D5D97">
        <w:rPr>
          <w:rFonts w:asciiTheme="majorBidi" w:hAnsiTheme="majorBidi" w:cstheme="majorBidi"/>
          <w:sz w:val="24"/>
          <w:szCs w:val="24"/>
        </w:rPr>
        <w:t>komponen-komponen</w:t>
      </w:r>
      <w:proofErr w:type="spellEnd"/>
      <w:r w:rsidR="0077037D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37D" w:rsidRPr="003D5D97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77037D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37D" w:rsidRPr="003D5D9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7037D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37D" w:rsidRPr="003D5D97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77037D" w:rsidRPr="003D5D97">
        <w:rPr>
          <w:rFonts w:asciiTheme="majorBidi" w:hAnsiTheme="majorBidi" w:cstheme="majorBidi"/>
          <w:sz w:val="24"/>
          <w:szCs w:val="24"/>
        </w:rPr>
        <w:t>:</w:t>
      </w:r>
    </w:p>
    <w:p w14:paraId="0E2013BD" w14:textId="7F2CF6F5" w:rsidR="00490332" w:rsidRPr="003D5D97" w:rsidRDefault="00490332" w:rsidP="00270D59">
      <w:pPr>
        <w:pStyle w:val="ListParagraph"/>
        <w:numPr>
          <w:ilvl w:val="0"/>
          <w:numId w:val="2"/>
        </w:numPr>
        <w:spacing w:line="276" w:lineRule="auto"/>
        <w:ind w:left="450" w:hanging="222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>Process</w:t>
      </w:r>
    </w:p>
    <w:p w14:paraId="046BEE5D" w14:textId="11806E63" w:rsidR="00490332" w:rsidRPr="003D5D97" w:rsidRDefault="00490332" w:rsidP="00270D59">
      <w:pPr>
        <w:pStyle w:val="ListParagraph"/>
        <w:numPr>
          <w:ilvl w:val="0"/>
          <w:numId w:val="2"/>
        </w:numPr>
        <w:spacing w:line="276" w:lineRule="auto"/>
        <w:ind w:left="450" w:hanging="222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 xml:space="preserve">Organizational structures </w:t>
      </w:r>
    </w:p>
    <w:p w14:paraId="1EC38F89" w14:textId="70820F49" w:rsidR="00490332" w:rsidRPr="003D5D97" w:rsidRDefault="00490332" w:rsidP="00270D59">
      <w:pPr>
        <w:pStyle w:val="ListParagraph"/>
        <w:numPr>
          <w:ilvl w:val="0"/>
          <w:numId w:val="2"/>
        </w:numPr>
        <w:spacing w:line="276" w:lineRule="auto"/>
        <w:ind w:left="450" w:hanging="222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 xml:space="preserve">Information flows and items </w:t>
      </w:r>
    </w:p>
    <w:p w14:paraId="1FFD220F" w14:textId="4DF6F6A3" w:rsidR="00490332" w:rsidRPr="003D5D97" w:rsidRDefault="00490332" w:rsidP="00270D59">
      <w:pPr>
        <w:pStyle w:val="ListParagraph"/>
        <w:numPr>
          <w:ilvl w:val="0"/>
          <w:numId w:val="2"/>
        </w:numPr>
        <w:spacing w:line="276" w:lineRule="auto"/>
        <w:ind w:left="450" w:hanging="222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 xml:space="preserve">People, skills and competencies </w:t>
      </w:r>
    </w:p>
    <w:p w14:paraId="0718DE1E" w14:textId="6CB85DA0" w:rsidR="00490332" w:rsidRPr="003D5D97" w:rsidRDefault="00490332" w:rsidP="00270D59">
      <w:pPr>
        <w:pStyle w:val="ListParagraph"/>
        <w:numPr>
          <w:ilvl w:val="0"/>
          <w:numId w:val="2"/>
        </w:numPr>
        <w:spacing w:line="276" w:lineRule="auto"/>
        <w:ind w:left="450" w:hanging="222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 xml:space="preserve">Policies and procedures </w:t>
      </w:r>
    </w:p>
    <w:p w14:paraId="0C3E830E" w14:textId="20984C55" w:rsidR="00490332" w:rsidRPr="003D5D97" w:rsidRDefault="00490332" w:rsidP="00270D59">
      <w:pPr>
        <w:pStyle w:val="ListParagraph"/>
        <w:numPr>
          <w:ilvl w:val="0"/>
          <w:numId w:val="2"/>
        </w:numPr>
        <w:spacing w:line="276" w:lineRule="auto"/>
        <w:ind w:left="450" w:hanging="222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 xml:space="preserve">Culture, ethics and behavior </w:t>
      </w:r>
    </w:p>
    <w:p w14:paraId="1E87EA4E" w14:textId="4CA0A241" w:rsidR="00C104FF" w:rsidRPr="003D5D97" w:rsidRDefault="00490332" w:rsidP="00270D59">
      <w:pPr>
        <w:pStyle w:val="ListParagraph"/>
        <w:numPr>
          <w:ilvl w:val="0"/>
          <w:numId w:val="2"/>
        </w:numPr>
        <w:spacing w:line="276" w:lineRule="auto"/>
        <w:ind w:left="450" w:hanging="222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>Services, infrastructure and applications</w:t>
      </w:r>
    </w:p>
    <w:p w14:paraId="500EA315" w14:textId="2F0E74FC" w:rsidR="00800B6A" w:rsidRPr="003D5D97" w:rsidRDefault="00800B6A" w:rsidP="00800B6A">
      <w:pPr>
        <w:pStyle w:val="ListParagraph"/>
        <w:ind w:left="408"/>
        <w:rPr>
          <w:rFonts w:asciiTheme="majorBidi" w:hAnsiTheme="majorBidi" w:cstheme="majorBidi"/>
          <w:sz w:val="24"/>
          <w:szCs w:val="24"/>
        </w:rPr>
      </w:pPr>
      <w:proofErr w:type="spellStart"/>
      <w:r w:rsidRPr="003D5D9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detil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penjabaran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>:</w:t>
      </w:r>
    </w:p>
    <w:p w14:paraId="20BEF232" w14:textId="77777777" w:rsidR="00490332" w:rsidRPr="003D5D97" w:rsidRDefault="00490332" w:rsidP="00490332">
      <w:pPr>
        <w:rPr>
          <w:rFonts w:asciiTheme="majorBidi" w:hAnsiTheme="majorBidi" w:cstheme="majorBidi"/>
          <w:sz w:val="24"/>
          <w:szCs w:val="24"/>
        </w:rPr>
      </w:pPr>
    </w:p>
    <w:p w14:paraId="30D24C29" w14:textId="6D9A2F03" w:rsidR="00490332" w:rsidRPr="001658DF" w:rsidRDefault="00270D59" w:rsidP="00270D5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Komponen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  <w:r w:rsidR="00EF3D82" w:rsidRPr="001658DF">
        <w:rPr>
          <w:rFonts w:asciiTheme="majorBidi" w:hAnsiTheme="majorBidi" w:cstheme="majorBidi"/>
          <w:b/>
          <w:bCs/>
          <w:sz w:val="24"/>
          <w:szCs w:val="24"/>
        </w:rPr>
        <w:t>Proses (</w:t>
      </w:r>
      <w:r w:rsidR="00490332" w:rsidRPr="001658DF">
        <w:rPr>
          <w:rFonts w:asciiTheme="majorBidi" w:hAnsiTheme="majorBidi" w:cstheme="majorBidi"/>
          <w:b/>
          <w:bCs/>
          <w:i/>
          <w:iCs/>
          <w:sz w:val="24"/>
          <w:szCs w:val="24"/>
        </w:rPr>
        <w:t>Process</w:t>
      </w:r>
      <w:r w:rsidR="00EF3D82" w:rsidRPr="001658DF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7C1DD1FC" w14:textId="77777777" w:rsidR="001658DF" w:rsidRDefault="003D5D97" w:rsidP="00270D59">
      <w:pPr>
        <w:pStyle w:val="ListParagraph"/>
        <w:spacing w:line="276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E20B1B" w:rsidRPr="003D5D97">
        <w:rPr>
          <w:rFonts w:asciiTheme="majorBidi" w:hAnsiTheme="majorBidi" w:cstheme="majorBidi"/>
          <w:sz w:val="24"/>
          <w:szCs w:val="24"/>
        </w:rPr>
        <w:t xml:space="preserve">roses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serangkaian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terorganisir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serangkaian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keluaran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pencapaian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TI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0B1B" w:rsidRPr="003D5D97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="00E20B1B" w:rsidRPr="003D5D9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3B553B6" w14:textId="673BFD92" w:rsidR="001658DF" w:rsidRDefault="001658DF" w:rsidP="00270D59">
      <w:pPr>
        <w:pStyle w:val="ListParagraph"/>
        <w:spacing w:line="276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658DF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proses.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metrik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menyertai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proses,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mengukur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pencapaian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kontribusinya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pencapaian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3.4).</w:t>
      </w:r>
    </w:p>
    <w:p w14:paraId="321E0D24" w14:textId="77777777" w:rsidR="003D5D97" w:rsidRPr="003D5D97" w:rsidRDefault="003D5D97" w:rsidP="003D5D9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9213C83" w14:textId="2DD84CAB" w:rsidR="00EF3D82" w:rsidRPr="003D5D97" w:rsidRDefault="00EF3D82" w:rsidP="00800B6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E01F9DC" wp14:editId="3665EA0A">
            <wp:extent cx="5463540" cy="2065655"/>
            <wp:effectExtent l="0" t="0" r="3810" b="0"/>
            <wp:docPr id="65937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72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79DF" w14:textId="101F413C" w:rsidR="001658DF" w:rsidRDefault="001658DF" w:rsidP="003730C2">
      <w:pPr>
        <w:spacing w:line="276" w:lineRule="auto"/>
        <w:ind w:left="720" w:firstLine="72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1658DF">
        <w:rPr>
          <w:rFonts w:asciiTheme="majorBidi" w:hAnsiTheme="majorBidi" w:cstheme="majorBidi"/>
          <w:sz w:val="24"/>
          <w:szCs w:val="24"/>
        </w:rPr>
        <w:t xml:space="preserve">Tingkat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kapabilitas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proses, yang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definisi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 yang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kapabilitas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kapabilitas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segera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. COBIT®2019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Integrasi Model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Kematangan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®(CMMI)-Skema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kapabilitas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skala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berkisar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0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5. Tingkat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kapabilitas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seberapa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berkinerja.Gambar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3.5menggambarkan model,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masing-masing.</w:t>
      </w:r>
    </w:p>
    <w:p w14:paraId="7EDA4003" w14:textId="58DF1663" w:rsidR="001658DF" w:rsidRPr="003D5D97" w:rsidRDefault="001658DF" w:rsidP="001658DF">
      <w:pPr>
        <w:ind w:left="720" w:firstLine="72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3D5D9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B1B5AD" wp14:editId="231EDA73">
            <wp:extent cx="4785360" cy="2323465"/>
            <wp:effectExtent l="0" t="0" r="0" b="635"/>
            <wp:docPr id="114157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78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045" cy="23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8C2" w14:textId="22D593AD" w:rsidR="00EB6E0C" w:rsidRPr="001658DF" w:rsidRDefault="00270D59" w:rsidP="00EF3D8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 xml:space="preserve">Komponen : </w:t>
      </w:r>
      <w:r w:rsidR="00EB6E0C" w:rsidRPr="001658DF">
        <w:rPr>
          <w:rFonts w:asciiTheme="majorBidi" w:hAnsiTheme="majorBidi" w:cstheme="majorBidi"/>
          <w:b/>
          <w:bCs/>
          <w:sz w:val="24"/>
          <w:szCs w:val="24"/>
          <w:lang w:val="id-ID"/>
        </w:rPr>
        <w:t>Struktur Organisasi (</w:t>
      </w:r>
      <w:r w:rsidR="00EB6E0C" w:rsidRPr="001658D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Organizational structures </w:t>
      </w:r>
      <w:r w:rsidR="00EB6E0C" w:rsidRPr="001658D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38DDE78" w14:textId="34DC55BF" w:rsidR="0090701B" w:rsidRPr="003D5D97" w:rsidRDefault="001658DF" w:rsidP="00270D59">
      <w:pPr>
        <w:spacing w:line="276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658DF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menyarankan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akuntabilitas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 (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3.6). Bagan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TI.</w:t>
      </w:r>
      <w:r w:rsidR="0090701B" w:rsidRPr="003D5D9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3A3E3A" wp14:editId="11D4A5D8">
            <wp:extent cx="5943600" cy="3001645"/>
            <wp:effectExtent l="0" t="0" r="0" b="8255"/>
            <wp:docPr id="162706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5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BB2" w14:textId="0170E9D3" w:rsidR="00C17FA4" w:rsidRPr="003D5D97" w:rsidRDefault="0090701B" w:rsidP="00270D59">
      <w:pPr>
        <w:spacing w:line="276" w:lineRule="auto"/>
        <w:ind w:left="450" w:firstLine="360"/>
        <w:jc w:val="both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3D5D97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3D5D97">
        <w:rPr>
          <w:rFonts w:asciiTheme="majorBidi" w:hAnsiTheme="majorBidi" w:cstheme="majorBidi"/>
          <w:sz w:val="24"/>
          <w:szCs w:val="24"/>
        </w:rPr>
        <w:t xml:space="preserve"> </w:t>
      </w:r>
      <w:r w:rsidR="00C17FA4" w:rsidRPr="003D5D97">
        <w:rPr>
          <w:rFonts w:asciiTheme="majorBidi" w:hAnsiTheme="majorBidi" w:cstheme="majorBidi"/>
          <w:sz w:val="24"/>
          <w:szCs w:val="24"/>
        </w:rPr>
        <w:t xml:space="preserve">B. Component : Organizational Structure </w:t>
      </w:r>
      <w:proofErr w:type="spellStart"/>
      <w:r w:rsidR="00C17FA4" w:rsidRPr="003D5D97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C17FA4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7FA4" w:rsidRPr="003D5D9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C17FA4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7FA4" w:rsidRPr="003D5D97">
        <w:rPr>
          <w:rFonts w:asciiTheme="majorBidi" w:hAnsiTheme="majorBidi" w:cstheme="majorBidi"/>
          <w:sz w:val="24"/>
          <w:szCs w:val="24"/>
        </w:rPr>
        <w:t>disisi</w:t>
      </w:r>
      <w:proofErr w:type="spellEnd"/>
      <w:r w:rsidR="00C17FA4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7FA4" w:rsidRPr="003D5D9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C17FA4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7FA4" w:rsidRPr="003D5D9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C17FA4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7FA4" w:rsidRPr="003D5D97">
        <w:rPr>
          <w:rFonts w:asciiTheme="majorBidi" w:hAnsiTheme="majorBidi" w:cstheme="majorBidi"/>
          <w:sz w:val="24"/>
          <w:szCs w:val="24"/>
        </w:rPr>
        <w:t>Excecutive</w:t>
      </w:r>
      <w:proofErr w:type="spellEnd"/>
      <w:r w:rsidR="00C17FA4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7FA4" w:rsidRPr="003D5D97">
        <w:rPr>
          <w:rFonts w:asciiTheme="majorBidi" w:hAnsiTheme="majorBidi" w:cstheme="majorBidi"/>
          <w:sz w:val="24"/>
          <w:szCs w:val="24"/>
        </w:rPr>
        <w:t>Commite</w:t>
      </w:r>
      <w:proofErr w:type="spellEnd"/>
      <w:r w:rsidR="00C17FA4" w:rsidRPr="003D5D97">
        <w:rPr>
          <w:rFonts w:asciiTheme="majorBidi" w:hAnsiTheme="majorBidi" w:cstheme="majorBidi"/>
          <w:sz w:val="24"/>
          <w:szCs w:val="24"/>
        </w:rPr>
        <w:t>, Chief Executive Officer, Chief Financial officer dan lain-</w:t>
      </w:r>
      <w:proofErr w:type="spellStart"/>
      <w:r w:rsidR="00C17FA4" w:rsidRPr="003D5D97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3F7B83" w:rsidRPr="003D5D97">
        <w:rPr>
          <w:rFonts w:asciiTheme="majorBidi" w:hAnsiTheme="majorBidi" w:cstheme="majorBidi"/>
          <w:sz w:val="24"/>
          <w:szCs w:val="24"/>
        </w:rPr>
        <w:t xml:space="preserve">. Bisa </w:t>
      </w:r>
      <w:proofErr w:type="spellStart"/>
      <w:r w:rsidR="003F7B83" w:rsidRPr="003D5D97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3F7B83" w:rsidRPr="003D5D97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3F7B83" w:rsidRPr="003D5D97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="003F7B83" w:rsidRPr="003D5D97">
        <w:rPr>
          <w:rFonts w:asciiTheme="majorBidi" w:hAnsiTheme="majorBidi" w:cstheme="majorBidi"/>
          <w:sz w:val="24"/>
          <w:szCs w:val="24"/>
        </w:rPr>
        <w:t xml:space="preserve"> 21.</w:t>
      </w:r>
    </w:p>
    <w:p w14:paraId="1CE97FA4" w14:textId="332898C6" w:rsidR="007B0C7A" w:rsidRDefault="001658DF" w:rsidP="00270D59">
      <w:pPr>
        <w:spacing w:line="276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658DF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terperinci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disertakan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Lampiran B.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tingkatan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keterlibatan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tingkatan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akuntabel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CE1F063" w14:textId="77777777" w:rsidR="00270D59" w:rsidRPr="003D5D97" w:rsidRDefault="00270D59" w:rsidP="003730C2">
      <w:pPr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1977081C" w14:textId="49AA6BF3" w:rsidR="007B0C7A" w:rsidRPr="00C6698B" w:rsidRDefault="00270D59" w:rsidP="00270D59">
      <w:pPr>
        <w:pStyle w:val="ListParagraph"/>
        <w:numPr>
          <w:ilvl w:val="0"/>
          <w:numId w:val="1"/>
        </w:numPr>
        <w:spacing w:line="276" w:lineRule="auto"/>
        <w:ind w:left="45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Komponen :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="007B0C7A" w:rsidRPr="001658DF">
        <w:rPr>
          <w:rFonts w:asciiTheme="majorBidi" w:hAnsiTheme="majorBidi" w:cstheme="majorBidi"/>
          <w:b/>
          <w:bCs/>
          <w:sz w:val="24"/>
          <w:szCs w:val="24"/>
        </w:rPr>
        <w:t xml:space="preserve">Flow </w:t>
      </w:r>
      <w:proofErr w:type="spellStart"/>
      <w:r w:rsidR="007B0C7A" w:rsidRPr="001658DF">
        <w:rPr>
          <w:rFonts w:asciiTheme="majorBidi" w:hAnsiTheme="majorBidi" w:cstheme="majorBidi"/>
          <w:b/>
          <w:bCs/>
          <w:sz w:val="24"/>
          <w:szCs w:val="24"/>
        </w:rPr>
        <w:t>informasi</w:t>
      </w:r>
      <w:proofErr w:type="spellEnd"/>
      <w:r w:rsidR="007B0C7A" w:rsidRPr="001658DF">
        <w:rPr>
          <w:rFonts w:asciiTheme="majorBidi" w:hAnsiTheme="majorBidi" w:cstheme="majorBidi"/>
          <w:b/>
          <w:bCs/>
          <w:sz w:val="24"/>
          <w:szCs w:val="24"/>
        </w:rPr>
        <w:t xml:space="preserve"> dan item (</w:t>
      </w:r>
      <w:r w:rsidR="007B0C7A" w:rsidRPr="001658D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Information </w:t>
      </w:r>
      <w:proofErr w:type="spellStart"/>
      <w:r w:rsidR="007B0C7A" w:rsidRPr="001658DF">
        <w:rPr>
          <w:rFonts w:asciiTheme="majorBidi" w:hAnsiTheme="majorBidi" w:cstheme="majorBidi"/>
          <w:b/>
          <w:bCs/>
          <w:i/>
          <w:iCs/>
          <w:sz w:val="24"/>
          <w:szCs w:val="24"/>
        </w:rPr>
        <w:t>Flowa</w:t>
      </w:r>
      <w:proofErr w:type="spellEnd"/>
      <w:r w:rsidR="007B0C7A" w:rsidRPr="001658D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and Item</w:t>
      </w:r>
      <w:r w:rsidR="007B0C7A" w:rsidRPr="001658D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F716BD1" w14:textId="77777777" w:rsidR="001658DF" w:rsidRPr="001658DF" w:rsidRDefault="001658DF" w:rsidP="00270D59">
      <w:pPr>
        <w:pStyle w:val="ListParagraph"/>
        <w:spacing w:line="276" w:lineRule="auto"/>
        <w:ind w:left="45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658DF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arus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dan item yang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proses.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keluaran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indikasi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asal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>.</w:t>
      </w:r>
    </w:p>
    <w:p w14:paraId="6E83FDD2" w14:textId="58D1FC51" w:rsidR="003F7B83" w:rsidRPr="003D5D97" w:rsidRDefault="001658DF" w:rsidP="00270D59">
      <w:pPr>
        <w:pStyle w:val="ListParagraph"/>
        <w:spacing w:line="276" w:lineRule="auto"/>
        <w:ind w:left="450"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1658D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proses COBIT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. Output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1658DF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1658DF">
        <w:rPr>
          <w:rFonts w:asciiTheme="majorBidi" w:hAnsiTheme="majorBidi" w:cstheme="majorBidi"/>
          <w:sz w:val="24"/>
          <w:szCs w:val="24"/>
        </w:rPr>
        <w:t xml:space="preserve"> 3.7)</w:t>
      </w:r>
    </w:p>
    <w:p w14:paraId="0CB018A3" w14:textId="6390DA35" w:rsidR="00D0456A" w:rsidRPr="003730C2" w:rsidRDefault="00D0456A" w:rsidP="003730C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48C89F3" wp14:editId="40FA361E">
            <wp:extent cx="5943600" cy="1661160"/>
            <wp:effectExtent l="0" t="0" r="0" b="0"/>
            <wp:docPr id="176888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81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A793" w14:textId="77777777" w:rsidR="003730C2" w:rsidRPr="003D5D97" w:rsidRDefault="003730C2" w:rsidP="003730C2">
      <w:pPr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3CB57C90" w14:textId="0A3F8444" w:rsidR="00223BA8" w:rsidRPr="00BD240E" w:rsidRDefault="003730C2" w:rsidP="003730C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Komponen :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="00223BA8"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Orang, </w:t>
      </w:r>
      <w:proofErr w:type="spellStart"/>
      <w:r w:rsidR="00223BA8" w:rsidRPr="00BD240E">
        <w:rPr>
          <w:rFonts w:asciiTheme="majorBidi" w:hAnsiTheme="majorBidi" w:cstheme="majorBidi"/>
          <w:b/>
          <w:bCs/>
          <w:sz w:val="24"/>
          <w:szCs w:val="24"/>
        </w:rPr>
        <w:t>Keterampilan</w:t>
      </w:r>
      <w:proofErr w:type="spellEnd"/>
      <w:r w:rsidR="00223BA8"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, dan </w:t>
      </w:r>
      <w:proofErr w:type="spellStart"/>
      <w:r w:rsidR="00223BA8" w:rsidRPr="00BD240E">
        <w:rPr>
          <w:rFonts w:asciiTheme="majorBidi" w:hAnsiTheme="majorBidi" w:cstheme="majorBidi"/>
          <w:b/>
          <w:bCs/>
          <w:sz w:val="24"/>
          <w:szCs w:val="24"/>
        </w:rPr>
        <w:t>Kompetensi</w:t>
      </w:r>
      <w:proofErr w:type="spellEnd"/>
      <w:r w:rsidR="00223BA8"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223BA8" w:rsidRPr="00BD240E">
        <w:rPr>
          <w:rFonts w:asciiTheme="majorBidi" w:hAnsiTheme="majorBidi" w:cstheme="majorBidi"/>
          <w:b/>
          <w:bCs/>
          <w:i/>
          <w:iCs/>
          <w:sz w:val="24"/>
          <w:szCs w:val="24"/>
        </w:rPr>
        <w:t>People, skills and competencies</w:t>
      </w:r>
      <w:r w:rsidR="00223BA8" w:rsidRPr="00BD240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4B649413" w14:textId="3C0B4776" w:rsidR="000E5B93" w:rsidRPr="003D5D97" w:rsidRDefault="00BD240E" w:rsidP="00270D59">
      <w:pPr>
        <w:pStyle w:val="ListParagraph"/>
        <w:spacing w:line="276" w:lineRule="auto"/>
        <w:ind w:firstLine="27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D240E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SDM,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kompetensi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COBIT®Tahun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2019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mendasarkan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Kerangka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Era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(SFIA)®) V6 (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versi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6).5Semua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tercantum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rinci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kerangka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SFIA.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Terperinci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unik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berkorelasi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SFIA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3.9).</w:t>
      </w:r>
      <w:proofErr w:type="spellStart"/>
      <w:r w:rsidR="00BC3D90" w:rsidRPr="003D5D9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BC3D90" w:rsidRPr="003D5D97">
        <w:rPr>
          <w:rFonts w:asciiTheme="majorBidi" w:hAnsiTheme="majorBidi" w:cstheme="majorBidi"/>
          <w:sz w:val="24"/>
          <w:szCs w:val="24"/>
        </w:rPr>
        <w:t xml:space="preserve"> format form yang </w:t>
      </w:r>
      <w:proofErr w:type="spellStart"/>
      <w:r w:rsidR="00BC3D90" w:rsidRPr="003D5D9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BC3D90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3D90" w:rsidRPr="003D5D97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BC3D90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3D90" w:rsidRPr="003D5D9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BC3D90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3D90" w:rsidRPr="003D5D97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BC3D90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3D90" w:rsidRPr="003D5D9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BC3D90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3D90" w:rsidRPr="003D5D97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BC3D90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3D90" w:rsidRPr="003D5D97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="00BC3D90" w:rsidRPr="003D5D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3D90" w:rsidRPr="003D5D9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C3D90" w:rsidRPr="003D5D97">
        <w:rPr>
          <w:rFonts w:asciiTheme="majorBidi" w:hAnsiTheme="majorBidi" w:cstheme="majorBidi"/>
          <w:sz w:val="24"/>
          <w:szCs w:val="24"/>
        </w:rPr>
        <w:t>:</w:t>
      </w:r>
    </w:p>
    <w:p w14:paraId="6DEF95D7" w14:textId="77777777" w:rsidR="00BC3D90" w:rsidRPr="003D5D97" w:rsidRDefault="00BC3D90" w:rsidP="000E5B93">
      <w:pPr>
        <w:pStyle w:val="ListParagraph"/>
        <w:ind w:left="450" w:firstLine="270"/>
        <w:rPr>
          <w:rFonts w:asciiTheme="majorBidi" w:hAnsiTheme="majorBidi" w:cstheme="majorBidi"/>
          <w:sz w:val="24"/>
          <w:szCs w:val="24"/>
        </w:rPr>
      </w:pPr>
    </w:p>
    <w:p w14:paraId="0AAE8302" w14:textId="138BBC74" w:rsidR="00BC3D90" w:rsidRPr="003D5D97" w:rsidRDefault="00BC3D90" w:rsidP="000E5B93">
      <w:pPr>
        <w:pStyle w:val="ListParagraph"/>
        <w:ind w:left="450" w:firstLine="270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C97971" wp14:editId="6BE67886">
            <wp:extent cx="5943600" cy="1042035"/>
            <wp:effectExtent l="0" t="0" r="0" b="5715"/>
            <wp:docPr id="169157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6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BEFD" w14:textId="77777777" w:rsidR="00BC3D90" w:rsidRPr="003D5D97" w:rsidRDefault="00BC3D90" w:rsidP="000E5B93">
      <w:pPr>
        <w:pStyle w:val="ListParagraph"/>
        <w:ind w:left="450" w:firstLine="270"/>
        <w:rPr>
          <w:rFonts w:asciiTheme="majorBidi" w:hAnsiTheme="majorBidi" w:cstheme="majorBidi"/>
          <w:sz w:val="24"/>
          <w:szCs w:val="24"/>
        </w:rPr>
      </w:pPr>
    </w:p>
    <w:p w14:paraId="1B512F71" w14:textId="3C5A9486" w:rsidR="007F0C7E" w:rsidRPr="00BD240E" w:rsidRDefault="00BD240E" w:rsidP="00270D5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730C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Kebjiakan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Prosedur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7F0C7E" w:rsidRPr="00BD240E">
        <w:rPr>
          <w:rFonts w:asciiTheme="majorBidi" w:hAnsiTheme="majorBidi" w:cstheme="majorBidi"/>
          <w:b/>
          <w:bCs/>
          <w:i/>
          <w:iCs/>
          <w:sz w:val="24"/>
          <w:szCs w:val="24"/>
        </w:rPr>
        <w:t>Policies and procedures</w:t>
      </w:r>
      <w:r w:rsidR="007F0C7E"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36C325AA" w14:textId="5026817A" w:rsidR="00D92B79" w:rsidRPr="003D5D97" w:rsidRDefault="00BD240E" w:rsidP="00270D59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D240E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terperinci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. Nama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disertakan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uraian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3.10)</w:t>
      </w:r>
      <w:r w:rsidR="00D92B79" w:rsidRPr="003D5D9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B3FE81" wp14:editId="437EDDC0">
            <wp:extent cx="5943600" cy="831215"/>
            <wp:effectExtent l="0" t="0" r="0" b="6985"/>
            <wp:docPr id="203388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86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083D" w14:textId="77777777" w:rsidR="00D92B79" w:rsidRPr="003D5D97" w:rsidRDefault="00D92B79" w:rsidP="007F0C7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804890E" w14:textId="67489B5B" w:rsidR="00D92B79" w:rsidRPr="00BD240E" w:rsidRDefault="00BD240E" w:rsidP="00270D5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D240E">
        <w:rPr>
          <w:rFonts w:asciiTheme="majorBidi" w:hAnsiTheme="majorBidi" w:cstheme="majorBidi"/>
          <w:b/>
          <w:bCs/>
          <w:sz w:val="24"/>
          <w:szCs w:val="24"/>
        </w:rPr>
        <w:t>Komponen</w:t>
      </w:r>
      <w:proofErr w:type="spellEnd"/>
      <w:r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70D59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="00D92B79" w:rsidRPr="00BD240E">
        <w:rPr>
          <w:rFonts w:asciiTheme="majorBidi" w:hAnsiTheme="majorBidi" w:cstheme="majorBidi"/>
          <w:b/>
          <w:bCs/>
          <w:sz w:val="24"/>
          <w:szCs w:val="24"/>
        </w:rPr>
        <w:t>Budaya</w:t>
      </w:r>
      <w:proofErr w:type="spellEnd"/>
      <w:r w:rsidR="00D92B79"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, Etika, dan </w:t>
      </w:r>
      <w:proofErr w:type="spellStart"/>
      <w:r w:rsidR="00D92B79" w:rsidRPr="00BD240E">
        <w:rPr>
          <w:rFonts w:asciiTheme="majorBidi" w:hAnsiTheme="majorBidi" w:cstheme="majorBidi"/>
          <w:b/>
          <w:bCs/>
          <w:sz w:val="24"/>
          <w:szCs w:val="24"/>
        </w:rPr>
        <w:t>Perilaku</w:t>
      </w:r>
      <w:proofErr w:type="spellEnd"/>
      <w:r w:rsidR="00D92B79"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106B47" w:rsidRPr="00BD240E">
        <w:rPr>
          <w:rFonts w:asciiTheme="majorBidi" w:hAnsiTheme="majorBidi" w:cstheme="majorBidi"/>
          <w:b/>
          <w:bCs/>
          <w:i/>
          <w:iCs/>
          <w:sz w:val="24"/>
          <w:szCs w:val="24"/>
        </w:rPr>
        <w:t>Culture, ethics and behavior</w:t>
      </w:r>
      <w:r w:rsidR="00D92B79" w:rsidRPr="00BD240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32357A79" w14:textId="3FF27516" w:rsidR="00106B47" w:rsidRPr="003D5D97" w:rsidRDefault="00BD240E" w:rsidP="00270D59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D240E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etika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perilaku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rinci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pencapaian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3.11). Jika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lain dan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disertakan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. Panduan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mengutip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lastRenderedPageBreak/>
        <w:t>terkait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dikonsultasikan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. Daftar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disertakan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Lampiran C.</w:t>
      </w:r>
      <w:r w:rsidR="00106B47" w:rsidRPr="003D5D9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BA1E119" wp14:editId="4230C4DC">
            <wp:extent cx="5943600" cy="796290"/>
            <wp:effectExtent l="0" t="0" r="0" b="3810"/>
            <wp:docPr id="30080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00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2EAC" w14:textId="77777777" w:rsidR="00106B47" w:rsidRPr="003D5D97" w:rsidRDefault="00106B47" w:rsidP="00106B4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406DF3B" w14:textId="634FF5E9" w:rsidR="00106B47" w:rsidRDefault="00BD240E" w:rsidP="00106B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730C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="00106B47" w:rsidRPr="00BD240E">
        <w:rPr>
          <w:rFonts w:asciiTheme="majorBidi" w:hAnsiTheme="majorBidi" w:cstheme="majorBidi"/>
          <w:b/>
          <w:bCs/>
          <w:sz w:val="24"/>
          <w:szCs w:val="24"/>
        </w:rPr>
        <w:t>Layanan</w:t>
      </w:r>
      <w:proofErr w:type="spellEnd"/>
      <w:r w:rsidR="00106B47"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="00106B47" w:rsidRPr="00BD240E">
        <w:rPr>
          <w:rFonts w:asciiTheme="majorBidi" w:hAnsiTheme="majorBidi" w:cstheme="majorBidi"/>
          <w:b/>
          <w:bCs/>
          <w:sz w:val="24"/>
          <w:szCs w:val="24"/>
        </w:rPr>
        <w:t>Infrastruktur</w:t>
      </w:r>
      <w:proofErr w:type="spellEnd"/>
      <w:r w:rsidR="00106B47"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, dan </w:t>
      </w:r>
      <w:proofErr w:type="spellStart"/>
      <w:r w:rsidR="00106B47" w:rsidRPr="00BD240E">
        <w:rPr>
          <w:rFonts w:asciiTheme="majorBidi" w:hAnsiTheme="majorBidi" w:cstheme="majorBidi"/>
          <w:b/>
          <w:bCs/>
          <w:sz w:val="24"/>
          <w:szCs w:val="24"/>
        </w:rPr>
        <w:t>Aplikasi</w:t>
      </w:r>
      <w:proofErr w:type="spellEnd"/>
      <w:r w:rsidR="00106B47" w:rsidRPr="00BD240E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106B47" w:rsidRPr="00BD240E">
        <w:rPr>
          <w:rFonts w:asciiTheme="majorBidi" w:hAnsiTheme="majorBidi" w:cstheme="majorBidi"/>
          <w:b/>
          <w:bCs/>
          <w:i/>
          <w:iCs/>
          <w:sz w:val="24"/>
          <w:szCs w:val="24"/>
        </w:rPr>
        <w:t>Services, infrastructure and applications</w:t>
      </w:r>
      <w:r w:rsidR="00106B47" w:rsidRPr="00BD240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C5AD159" w14:textId="77777777" w:rsidR="00BD240E" w:rsidRPr="00BD240E" w:rsidRDefault="00BD240E" w:rsidP="00BD240E">
      <w:pPr>
        <w:pStyle w:val="ListParagraph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D240E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terperinci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pencapaian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. </w:t>
      </w:r>
    </w:p>
    <w:p w14:paraId="09A4A0BC" w14:textId="2AD73910" w:rsidR="00BD240E" w:rsidRPr="00BD240E" w:rsidRDefault="00BD240E" w:rsidP="00BD240E">
      <w:pPr>
        <w:pStyle w:val="ListParagraph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D240E">
        <w:rPr>
          <w:rFonts w:asciiTheme="majorBidi" w:hAnsiTheme="majorBidi" w:cstheme="majorBidi"/>
          <w:sz w:val="24"/>
          <w:szCs w:val="24"/>
        </w:rPr>
        <w:t xml:space="preserve">Panduan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penamaan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vendor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);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entri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arahan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tata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I&amp;T (</w:t>
      </w:r>
      <w:proofErr w:type="spellStart"/>
      <w:r w:rsidRPr="00BD240E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BD240E">
        <w:rPr>
          <w:rFonts w:asciiTheme="majorBidi" w:hAnsiTheme="majorBidi" w:cstheme="majorBidi"/>
          <w:sz w:val="24"/>
          <w:szCs w:val="24"/>
        </w:rPr>
        <w:t xml:space="preserve"> 3.12).</w:t>
      </w:r>
    </w:p>
    <w:p w14:paraId="41616CE4" w14:textId="1DB4DD20" w:rsidR="00106B47" w:rsidRPr="003D5D97" w:rsidRDefault="00BD240E" w:rsidP="00BD240E">
      <w:pPr>
        <w:jc w:val="center"/>
        <w:rPr>
          <w:rFonts w:asciiTheme="majorBidi" w:hAnsiTheme="majorBidi" w:cstheme="majorBidi"/>
          <w:sz w:val="24"/>
          <w:szCs w:val="24"/>
        </w:rPr>
      </w:pPr>
      <w:r w:rsidRPr="003D5D9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3DA0AB" wp14:editId="5095EC0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547360" cy="784860"/>
            <wp:effectExtent l="0" t="0" r="0" b="0"/>
            <wp:wrapNone/>
            <wp:docPr id="95467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784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A6E1C" w14:textId="77777777" w:rsidR="00106B47" w:rsidRPr="003D5D97" w:rsidRDefault="00106B47" w:rsidP="00106B47">
      <w:pPr>
        <w:pStyle w:val="ListParagraph"/>
        <w:ind w:left="450"/>
        <w:rPr>
          <w:rFonts w:asciiTheme="majorBidi" w:hAnsiTheme="majorBidi" w:cstheme="majorBidi"/>
          <w:sz w:val="24"/>
          <w:szCs w:val="24"/>
        </w:rPr>
      </w:pPr>
    </w:p>
    <w:p w14:paraId="5C0137E5" w14:textId="77777777" w:rsidR="00BC3D90" w:rsidRPr="003D5D97" w:rsidRDefault="00BC3D90" w:rsidP="000E5B93">
      <w:pPr>
        <w:pStyle w:val="ListParagraph"/>
        <w:ind w:left="450" w:firstLine="270"/>
        <w:rPr>
          <w:rFonts w:asciiTheme="majorBidi" w:hAnsiTheme="majorBidi" w:cstheme="majorBidi"/>
          <w:sz w:val="24"/>
          <w:szCs w:val="24"/>
        </w:rPr>
      </w:pPr>
    </w:p>
    <w:p w14:paraId="69144B55" w14:textId="5B925FC6" w:rsidR="007458A5" w:rsidRPr="003D5D97" w:rsidRDefault="007458A5" w:rsidP="00EB6E0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7458A5" w:rsidRPr="003D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82BF3"/>
    <w:multiLevelType w:val="hybridMultilevel"/>
    <w:tmpl w:val="3A0085E0"/>
    <w:lvl w:ilvl="0" w:tplc="758016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E0FB0"/>
    <w:multiLevelType w:val="hybridMultilevel"/>
    <w:tmpl w:val="C412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F62D3"/>
    <w:multiLevelType w:val="hybridMultilevel"/>
    <w:tmpl w:val="886ACB04"/>
    <w:lvl w:ilvl="0" w:tplc="49F2333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43261">
    <w:abstractNumId w:val="1"/>
  </w:num>
  <w:num w:numId="2" w16cid:durableId="979840613">
    <w:abstractNumId w:val="2"/>
  </w:num>
  <w:num w:numId="3" w16cid:durableId="206748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32"/>
    <w:rsid w:val="00036F03"/>
    <w:rsid w:val="000E5B93"/>
    <w:rsid w:val="000F7D74"/>
    <w:rsid w:val="00106B47"/>
    <w:rsid w:val="001658DF"/>
    <w:rsid w:val="0020281F"/>
    <w:rsid w:val="00223BA8"/>
    <w:rsid w:val="00270D59"/>
    <w:rsid w:val="003309D8"/>
    <w:rsid w:val="003730C2"/>
    <w:rsid w:val="003D5D97"/>
    <w:rsid w:val="003F7B83"/>
    <w:rsid w:val="00490332"/>
    <w:rsid w:val="005D0204"/>
    <w:rsid w:val="00617254"/>
    <w:rsid w:val="00653225"/>
    <w:rsid w:val="00672378"/>
    <w:rsid w:val="007458A5"/>
    <w:rsid w:val="0077037D"/>
    <w:rsid w:val="007B0C7A"/>
    <w:rsid w:val="007F0C7E"/>
    <w:rsid w:val="00800B6A"/>
    <w:rsid w:val="00842D71"/>
    <w:rsid w:val="0090701B"/>
    <w:rsid w:val="00997957"/>
    <w:rsid w:val="00A223AA"/>
    <w:rsid w:val="00BC3D90"/>
    <w:rsid w:val="00BD240E"/>
    <w:rsid w:val="00C104FF"/>
    <w:rsid w:val="00C17FA4"/>
    <w:rsid w:val="00C6698B"/>
    <w:rsid w:val="00CF23B9"/>
    <w:rsid w:val="00D0456A"/>
    <w:rsid w:val="00D92B79"/>
    <w:rsid w:val="00DF36B7"/>
    <w:rsid w:val="00E20B1B"/>
    <w:rsid w:val="00E87972"/>
    <w:rsid w:val="00EB6E0C"/>
    <w:rsid w:val="00E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8504"/>
  <w15:chartTrackingRefBased/>
  <w15:docId w15:val="{47604AAA-6EF8-437F-B42F-52CB866E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32"/>
    <w:pPr>
      <w:ind w:left="720"/>
      <w:contextualSpacing/>
    </w:pPr>
  </w:style>
  <w:style w:type="table" w:styleId="TableGrid">
    <w:name w:val="Table Grid"/>
    <w:basedOn w:val="TableNormal"/>
    <w:uiPriority w:val="39"/>
    <w:rsid w:val="003D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25</cp:revision>
  <dcterms:created xsi:type="dcterms:W3CDTF">2024-11-16T05:59:00Z</dcterms:created>
  <dcterms:modified xsi:type="dcterms:W3CDTF">2024-11-18T15:36:00Z</dcterms:modified>
</cp:coreProperties>
</file>