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b/>
          <w:color w:val="000000"/>
          <w:sz w:val="16"/>
        </w:rPr>
        <w:t>ISTITUTO DI ISTRUZIONE SUPERIORE "FERRARIS – FERMI"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color w:val="000000"/>
          <w:sz w:val="14"/>
        </w:rPr>
        <w:t>Istituto Tecnico Tecnologico "Galileo Ferraris"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color w:val="000000"/>
          <w:sz w:val="14"/>
        </w:rPr>
        <w:t>via del Pontiere, 40 - 37122 Verona, tel.045 595855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color w:val="000000"/>
          <w:sz w:val="14"/>
        </w:rPr>
        <w:t>Istituto Professionale "Enrico Fermi"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color w:val="000000"/>
          <w:sz w:val="14"/>
        </w:rPr>
        <w:t>Piazzale Guardini, 2 – 37138 Verona, tel. 045 595855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color w:val="000000"/>
          <w:sz w:val="14"/>
        </w:rPr>
        <w:t>Scuola carceraria: Indirizzo Odontotecnico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color w:val="000000"/>
          <w:sz w:val="14"/>
        </w:rPr>
        <w:t>Via San Michele, 15 - 37141 Montorio (VR), tel. 045 595855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  <w:color w:val="000000"/>
          <w:sz w:val="14"/>
        </w:rPr>
        <w:t>Codice Meccanografico VRIS01800R - Codice Fiscale 93245100230</w:t>
      </w:r>
    </w:p>
    <w:p>
      <w:pPr>
        <w:pStyle w:val="Normal"/>
        <w:spacing w:lineRule="auto" w:line="240" w:before="0" w:after="0"/>
        <w:jc w:val="center"/>
        <w:rPr>
          <w:rFonts w:ascii="Calibri" w:hAnsi="Calibri"/>
          <w:b w:val="false"/>
          <w:i/>
          <w:color w:val="000000"/>
          <w:sz w:val="14"/>
        </w:rPr>
      </w:pPr>
      <w:r>
        <w:rPr>
          <w:b w:val="false"/>
          <w:i/>
          <w:color w:val="000000"/>
          <w:sz w:val="14"/>
        </w:rPr>
        <w:t xml:space="preserve">e-mail: vris01800r@istruzione.it - pec: vris01800r@pec.istruzione.it – sito: </w:t>
      </w:r>
      <w:hyperlink r:id="rId2">
        <w:r>
          <w:rPr>
            <w:rStyle w:val="Hyperlink"/>
            <w:b w:val="false"/>
            <w:i/>
            <w:color w:val="000000"/>
            <w:sz w:val="14"/>
          </w:rPr>
          <w:t>www.ferrarisfermi.it</w:t>
        </w:r>
      </w:hyperlink>
    </w:p>
    <w:p>
      <w:pPr>
        <w:pStyle w:val="Normal"/>
        <w:spacing w:lineRule="auto" w:line="240" w:before="0" w:after="0"/>
        <w:jc w:val="center"/>
        <w:rPr>
          <w:rFonts w:ascii="Calibri" w:hAnsi="Calibri"/>
          <w:b w:val="false"/>
          <w:i/>
          <w:color w:val="000000"/>
          <w:sz w:val="14"/>
        </w:rPr>
      </w:pPr>
      <w:r>
        <w:rPr>
          <w:b w:val="false"/>
          <w:i/>
          <w:color w:val="000000"/>
          <w:sz w:val="14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/>
          <w:b w:val="false"/>
          <w:i/>
          <w:color w:val="000000"/>
          <w:sz w:val="14"/>
        </w:rPr>
      </w:pPr>
      <w:r>
        <w:rPr>
          <w:b w:val="false"/>
          <w:i/>
          <w:color w:val="000000"/>
          <w:sz w:val="14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/>
          <w:b w:val="false"/>
          <w:i/>
          <w:color w:val="000000"/>
          <w:sz w:val="14"/>
        </w:rPr>
      </w:pPr>
      <w:r>
        <w:rPr>
          <w:b w:val="false"/>
          <w:i/>
          <w:color w:val="000000"/>
          <w:sz w:val="14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/>
          <w:b w:val="false"/>
          <w:i/>
          <w:color w:val="000000"/>
          <w:sz w:val="14"/>
        </w:rPr>
      </w:pPr>
      <w:r>
        <w:rPr>
          <w:b w:val="false"/>
          <w:i/>
          <w:color w:val="000000"/>
          <w:sz w:val="14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/>
          <w:b w:val="false"/>
          <w:i/>
          <w:color w:val="000000"/>
          <w:sz w:val="14"/>
        </w:rPr>
      </w:pPr>
      <w:r>
        <w:rPr>
          <w:b w:val="false"/>
          <w:i/>
          <w:color w:val="000000"/>
          <w:sz w:val="14"/>
        </w:rPr>
      </w:r>
    </w:p>
    <w:p>
      <w:pPr>
        <w:pStyle w:val="Normal"/>
        <w:spacing w:before="0" w:after="80"/>
        <w:jc w:val="center"/>
        <w:rPr/>
      </w:pPr>
      <w:r>
        <w:rPr>
          <w:b/>
          <w:color w:val="1A5276"/>
          <w:sz w:val="36"/>
        </w:rPr>
        <w:t>REGOLAMENTO PER L’USO DEI SISTEMI DI INTELLIGENZA ARTIFICIALE IN AMBITO SCOLASTICO</w:t>
      </w:r>
    </w:p>
    <w:p>
      <w:pPr>
        <w:pStyle w:val="Normal"/>
        <w:spacing w:before="0" w:after="360"/>
        <w:jc w:val="center"/>
        <w:rPr/>
      </w:pPr>
      <w:r>
        <w:rPr>
          <w:i/>
          <w:color w:val="7F8C8D"/>
          <w:sz w:val="24"/>
        </w:rPr>
        <w:t>(Testo revisionato – Proposta per il Collegio dei Docenti – a.s. 2026/2027)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start w:val="single" w:sz="24" w:space="0" w:color="1A5276"/>
            </w:tcBorders>
            <w:shd w:fill="F4F6F7" w:val="clear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b/>
                <w:color w:val="1A5276"/>
              </w:rPr>
              <w:t xml:space="preserve">QUADRO GENERALE ED EFFICACIA: </w:t>
            </w:r>
            <w:r>
              <w:rPr>
                <w:sz w:val="21"/>
              </w:rPr>
              <w:t>Il presente documento recepisce i più recenti indirizzi dell'AI Act (Reg. UE 2024/1689), della Legge 132/2025, del GDPR (Reg. UE 2016/679) e delle Linee Guida del MIM. Integra specifici presidi per la valutazione autentica, la protezione dal rischio di falsi positivi negli accertamenti didattici, e disciplina l'operatività della sede carceraria di Montorio.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20" w:after="80"/>
      </w:pPr>
      <w:r>
        <w:rPr>
          <w:b/>
          <w:sz w:val="24"/>
        </w:rPr>
        <w:t>Sommario</w:t>
      </w:r>
    </w:p>
    <w:p>
      <w:pPr>
        <w:pStyle w:val="Normal"/>
        <w:spacing w:before="0" w:after="40"/>
      </w:pPr>
      <w:r>
        <w:rPr>
          <w:sz w:val="22"/>
        </w:rPr>
        <w:t>Premessa e Finalità del Documento</w:t>
      </w:r>
    </w:p>
    <w:p>
      <w:pPr>
        <w:pStyle w:val="Normal"/>
        <w:spacing w:before="0" w:after="40"/>
      </w:pPr>
      <w:r>
        <w:rPr>
          <w:sz w:val="22"/>
        </w:rPr>
        <w:t>Art. 1 – Oggetto e Ambito di Applicazione</w:t>
      </w:r>
    </w:p>
    <w:p>
      <w:pPr>
        <w:pStyle w:val="Normal"/>
        <w:spacing w:before="0" w:after="40"/>
      </w:pPr>
      <w:r>
        <w:rPr>
          <w:sz w:val="22"/>
        </w:rPr>
        <w:t>Art. 2 – Riferimenti Normativi</w:t>
      </w:r>
    </w:p>
    <w:p>
      <w:pPr>
        <w:pStyle w:val="Normal"/>
        <w:spacing w:before="0" w:after="40"/>
      </w:pPr>
      <w:r>
        <w:rPr>
          <w:sz w:val="22"/>
        </w:rPr>
        <w:t>Art. 3 – Diritti, Doveri e Libertà di Insegnamento dei Docenti</w:t>
      </w:r>
    </w:p>
    <w:p>
      <w:pPr>
        <w:pStyle w:val="Normal"/>
        <w:spacing w:before="0" w:after="40"/>
      </w:pPr>
      <w:r>
        <w:rPr>
          <w:sz w:val="22"/>
        </w:rPr>
        <w:t>Art. 4 – Diritti e Doveri degli Studenti</w:t>
      </w:r>
    </w:p>
    <w:p>
      <w:pPr>
        <w:pStyle w:val="Normal"/>
        <w:spacing w:before="0" w:after="40"/>
      </w:pPr>
      <w:r>
        <w:rPr>
          <w:sz w:val="22"/>
        </w:rPr>
        <w:t>Art. 5 – Diritti e Doveri del Personale ATA e degli Uffici</w:t>
      </w:r>
    </w:p>
    <w:p>
      <w:pPr>
        <w:pStyle w:val="Normal"/>
        <w:spacing w:before="0" w:after="40"/>
      </w:pPr>
      <w:r>
        <w:rPr>
          <w:sz w:val="22"/>
        </w:rPr>
        <w:t>Art. 6 – Condizioni di Utilizzo e Protezione dei Dati</w:t>
      </w:r>
    </w:p>
    <w:p>
      <w:pPr>
        <w:pStyle w:val="Normal"/>
        <w:spacing w:before="0" w:after="40"/>
      </w:pPr>
      <w:r>
        <w:rPr>
          <w:sz w:val="22"/>
        </w:rPr>
        <w:t>Art. 7 – Strumenti Ammessi e Strumenti Vietati (White-list)</w:t>
      </w:r>
    </w:p>
    <w:p>
      <w:pPr>
        <w:pStyle w:val="Normal"/>
        <w:spacing w:before="0" w:after="40"/>
      </w:pPr>
      <w:r>
        <w:rPr>
          <w:sz w:val="22"/>
        </w:rPr>
        <w:t>Art. 8 – Governance dell’IA e Sostenibilità Organizzativa</w:t>
      </w:r>
    </w:p>
    <w:p>
      <w:pPr>
        <w:pStyle w:val="Normal"/>
        <w:spacing w:before="0" w:after="40"/>
      </w:pPr>
      <w:r>
        <w:rPr>
          <w:sz w:val="22"/>
        </w:rPr>
        <w:t>Art. 9 – Formazione e Cittadinanza Digitale</w:t>
      </w:r>
    </w:p>
    <w:p>
      <w:pPr>
        <w:pStyle w:val="Normal"/>
        <w:spacing w:before="0" w:after="40"/>
      </w:pPr>
      <w:r>
        <w:rPr>
          <w:sz w:val="22"/>
        </w:rPr>
        <w:t>Art. 10 – Sanzioni, Provvedimenti Disciplinari e Contraddittorio</w:t>
      </w:r>
    </w:p>
    <w:p>
      <w:pPr>
        <w:pStyle w:val="Normal"/>
        <w:spacing w:before="0" w:after="40"/>
      </w:pPr>
      <w:r>
        <w:rPr>
          <w:sz w:val="22"/>
        </w:rPr>
        <w:t>Art. 11 – Procedura di Segnalazione Interna</w:t>
      </w:r>
    </w:p>
    <w:p>
      <w:pPr>
        <w:pStyle w:val="Normal"/>
        <w:spacing w:before="0" w:after="40"/>
      </w:pPr>
      <w:r>
        <w:rPr>
          <w:sz w:val="22"/>
        </w:rPr>
        <w:t>Art. 12 – Revisione Periodica</w:t>
      </w:r>
    </w:p>
    <w:p>
      <w:pPr>
        <w:pStyle w:val="Normal"/>
        <w:spacing w:before="0" w:after="40"/>
      </w:pPr>
      <w:r>
        <w:rPr>
          <w:sz w:val="22"/>
        </w:rPr>
        <w:t>Art. 13 – Specificità della Sede Carceraria (Casa Circondariale di Montorio)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Premessa e Finalità del Documento</w:t>
      </w:r>
    </w:p>
    <w:p>
      <w:pPr>
        <w:pStyle w:val="Normal"/>
        <w:spacing w:lineRule="auto" w:line="276" w:before="0" w:after="120"/>
        <w:rPr/>
      </w:pPr>
      <w:r>
        <w:rPr/>
        <w:t>1. L’Istituto di Istruzione Superiore «Ferraris–Fermi» di Verona, consapevole della rapida diffusione degli strumenti basati su modelli di intelligenza artificiale e delle straordinarie potenzialità che essi offrono per la didattica, l’inclusione e l'efficienza amministrativa, intende disciplinare – con il presente Regolamento – un utilizzo etico, sicuro, consapevole e responsabile dei sistemi di Intelligenza Artificiale (di seguito «IA») e di Intelligenza Artificiale Generativa (a titolo esemplificativo: ChatGPT, Gemini, Copilot, Claude) all’interno degli spazi e delle pertinenze fisiche e virtuali dell’Istituto.</w:t>
      </w:r>
    </w:p>
    <w:p>
      <w:pPr>
        <w:pStyle w:val="Normal"/>
        <w:spacing w:lineRule="auto" w:line="276" w:before="0" w:after="120"/>
        <w:rPr/>
      </w:pPr>
      <w:r>
        <w:rPr/>
        <w:t>2. Il presente documento si configura quale parte integrante e sostanziale del Regolamento d’Istituto, in raccordo con il Piano Triennale dell’Offerta Formativa (PTOF) e il Regolamento degli Uffici di Segreteria. Si applica a tutte le attività didattiche, curricolari ed extracurricolari, nonché alle attività organizzative e amministrative, nel rispetto dei principi di trasparenza, correttezza, proporzionalità del rischio e responsabilità individuale.</w:t>
      </w:r>
    </w:p>
    <w:p>
      <w:pPr>
        <w:pStyle w:val="Normal"/>
        <w:spacing w:lineRule="auto" w:line="276" w:before="0" w:after="120"/>
        <w:rPr/>
      </w:pPr>
      <w:r>
        <w:rPr/>
        <w:t>3. L’Istituto riconosce nell’IA uno strumento sussidiario avanzato a supporto della didattica, dell’inclusione scolastica e della personalizzazione dei processi di apprendimento, con particolare rilievo per gli studenti con Bisogni Educativi Speciali (BES) o Disturbi Specifici dell’Apprendimento (DSA). Si riafferma, quale principio pedagogico inderogabile, che l’apporto tecnologico debba esclusivamente integrare e potenziare – senza mai sostituire – l’autonomia di giudizio, l’elaborazione critica, la creatività e il rigore intellettuale dello studente.</w:t>
      </w:r>
    </w:p>
    <w:p>
      <w:pPr>
        <w:pStyle w:val="Normal"/>
        <w:spacing w:lineRule="auto" w:line="276" w:before="0" w:after="120"/>
        <w:rPr/>
      </w:pPr>
      <w:r>
        <w:rPr/>
        <w:t>4. L’impiego dei sistemi di IA è subordinato al rispetto dei seguenti principi inderogabili: trasparenza e integrità intellettuale; supervisione umana; tutela della riservatezza (privacy by design e by default); rigore accademico e contrasto al plagio; rispetto del diritto d’autore; responsabilità individuale.</w:t>
      </w:r>
    </w:p>
    <w:p>
      <w:pPr>
        <w:pStyle w:val="Normal"/>
        <w:spacing w:lineRule="auto" w:line="276" w:before="0" w:after="120"/>
        <w:rPr/>
      </w:pPr>
      <w:r>
        <w:rPr/>
        <w:t xml:space="preserve">5. Il presente Regolamento entra in vigore dal 1° settembre 2026 e si applica progressivamente, con una fase di sperimentazione assistita affidata al Team di Governance IA fino al 31 dicembre 2026; al termine di tale fase, il Collegio dei Docenti ne verifica l’operatività e ne delibera l’applicazione piena.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1 – Oggetto e Ambito di Applicazione</w:t>
      </w:r>
    </w:p>
    <w:p>
      <w:pPr>
        <w:pStyle w:val="Normal"/>
        <w:spacing w:lineRule="auto" w:line="276" w:before="0" w:after="120"/>
        <w:rPr/>
      </w:pPr>
      <w:r>
        <w:rPr/>
        <w:t>1. Il presente Regolamento detta le disposizioni cogenti per l’impiego etico, sicuro, consapevole e responsabile dei sistemi di IA da parte di tutti i soggetti della comunità scolastica: docenti, studenti, famiglie e personale ATA.</w:t>
      </w:r>
    </w:p>
    <w:p>
      <w:pPr>
        <w:pStyle w:val="Normal"/>
        <w:spacing w:lineRule="auto" w:line="276" w:before="0" w:after="120"/>
        <w:rPr/>
      </w:pPr>
      <w:r>
        <w:rPr/>
        <w:t>2. Il Regolamento si applica ogni qualvolta l’uso dell’IA:</w:t>
        <w:br/>
        <w:t xml:space="preserve">   a) sia correlato ad attività scolastiche curricolari o extracurricolari (lezioni, laboratori, corsi pomeridiani, progetti interdisciplinari, FSL);</w:t>
        <w:br/>
        <w:t xml:space="preserve">   b) avvenga tramite strumenti raccomandati, autorizzati o messi a disposizione dall’Istituto;</w:t>
        <w:br/>
        <w:t xml:space="preserve">   c) riguardi attività svolte a distanza o mediante dispositivi personali (BYOD), qualora finalizzate all’adempimento di compiti scolastici assegnati.</w:t>
      </w:r>
    </w:p>
    <w:p>
      <w:pPr>
        <w:pStyle w:val="Normal"/>
        <w:spacing w:lineRule="auto" w:line="276" w:before="0" w:after="120"/>
        <w:rPr/>
      </w:pPr>
      <w:r>
        <w:rPr/>
        <w:t>3. Le disposizioni si applicano altresì alle attività amministrative degli uffici di segreteria, nel rispetto delle finalità istituzionali e delle disposizioni del DSGA.</w:t>
      </w:r>
    </w:p>
    <w:p>
      <w:pPr>
        <w:pStyle w:val="Normal"/>
        <w:spacing w:lineRule="auto" w:line="276" w:before="0" w:after="120"/>
        <w:rPr/>
      </w:pPr>
      <w:r>
        <w:rPr/>
        <w:t>4. Il Regolamento si applica altresì alle attività didattiche svolte presso la sezione carceraria della Casa Circondariale di Verona (Montorio), con le specificità di cui all’Art. 13.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2 – Riferimenti Normativi</w:t>
      </w:r>
    </w:p>
    <w:p>
      <w:pPr>
        <w:pStyle w:val="Normal"/>
        <w:spacing w:lineRule="auto" w:line="276" w:before="0" w:after="120"/>
        <w:rPr/>
      </w:pPr>
      <w:r>
        <w:rPr/>
        <w:t>L’utilizzo degli strumenti di IA avviene nel pieno rispetto del quadro normativo vigente:</w:t>
        <w:br/>
        <w:t>• Regolamento (UE) 2016/679 (GDPR – Protezione dei dati personali);</w:t>
        <w:br/>
        <w:t>• Regolamento (UE) 2024/1689 (AI Act – Regolamento europeo sull'Intelligenza Artificiale);</w:t>
        <w:br/>
        <w:t>• Legge 132/2025 («Disposizioni e deleghe in materia di Intelligenza Artificiale»);</w:t>
        <w:br/>
        <w:t>• D.Lgs. 196/2003 e D.Lgs. 101/2018 (Codice in materia di protezione dei dati personali);</w:t>
        <w:br/>
        <w:t>• Legge 633/1941 e ss.mm.ii. (Protezione del diritto d’autore);</w:t>
        <w:br/>
        <w:t>• Linee Guida del Ministero dell’Istruzione e del Merito (MIM) per l’introduzione dell’IA nelle istituzioni scolastiche.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3 – Diritti, Doveri e Libertà di Insegnamento dei Docenti</w:t>
      </w:r>
    </w:p>
    <w:p>
      <w:pPr>
        <w:pStyle w:val="Normal"/>
        <w:spacing w:lineRule="auto" w:line="276" w:before="0" w:after="120"/>
        <w:rPr/>
      </w:pPr>
      <w:r>
        <w:rPr/>
        <w:t>1. Selezione delle strumentazioni: Il personale docente è incoraggiato a sperimentare le potenzialità dell’IA per innovare la progettazione didattica, predisporre materiali personalizzati e arricchire le metodologie di verifica, privilegiando gli strumenti presenti nella White-list d'Istituto (Allegato B) o verificati ai sensi dell'Art. 7.</w:t>
      </w:r>
    </w:p>
    <w:p>
      <w:pPr>
        <w:pStyle w:val="Normal"/>
        <w:spacing w:lineRule="auto" w:line="276" w:before="0" w:after="120"/>
        <w:rPr/>
      </w:pPr>
      <w:r>
        <w:rPr/>
        <w:t>2. Primato della valutazione umana: L’output algoritmico non può in alcun caso surrogare la valutazione del docente. Al docente compete, in via esclusiva, la titolarità e la responsabilità ultima dell’attribuzione del merito e della formulazione del giudizio valutativo (human-in-the-loop).</w:t>
      </w:r>
    </w:p>
    <w:p>
      <w:pPr>
        <w:pStyle w:val="Normal"/>
        <w:spacing w:lineRule="auto" w:line="276" w:before="0" w:after="120"/>
        <w:rPr/>
      </w:pPr>
      <w:r>
        <w:rPr/>
        <w:t>3. Trasparenza metodologica: Nell'assegnazione delle attività, il docente esplicita chiaramente le modalità, i limiti e gli scopi per cui l'uso dell'IA è consentito (ad es. brainstorming, sintesi, correzione sintattica) o precluso (ad es. redazione integrale di testi, risoluzione automatica di problemi).</w:t>
      </w:r>
    </w:p>
    <w:p>
      <w:pPr>
        <w:pStyle w:val="Normal"/>
        <w:spacing w:lineRule="auto" w:line="276" w:before="0" w:after="120"/>
        <w:rPr/>
      </w:pPr>
      <w:r>
        <w:rPr/>
        <w:t>4. Promozione della valutazione autentica e di processo: I docenti sono invitati a strutturare le verifiche privilegiando la valutazione di processo (discussione critica, cronologia delle bozze, diario di bordo dei prompt, compiti di realtà e argomentazione orale) rispetto alla mera consegna del prodotto finito.</w:t>
      </w:r>
    </w:p>
    <w:p>
      <w:pPr>
        <w:pStyle w:val="Normal"/>
        <w:spacing w:lineRule="auto" w:line="276" w:before="0" w:after="120"/>
        <w:rPr/>
      </w:pPr>
      <w:r>
        <w:rPr/>
        <w:t>5. Accertamento dell'uso non autorizzato e garanzia del contraddittorio: Gli applicativi di rilevazione automatica dell'IA («AI detector») presentano margini di errore intrinseci e non costituiscono prova probatoria autonoma o sufficiente. Qualora emerga il fondato sospetto di un uso non autorizzato dell'IA, il docente attiva tempestivamente un colloquio orale di verifica con lo studente, volto ad accertare l'effettiva padronanza dei contenuti e del processo logico seguito, prima di assumere qualsiasi determinazione valutativa o disciplinare.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4 – Diritti e Doveri degli Studenti</w:t>
      </w:r>
    </w:p>
    <w:p>
      <w:pPr>
        <w:pStyle w:val="Normal"/>
        <w:spacing w:lineRule="auto" w:line="276" w:before="0" w:after="120"/>
        <w:rPr/>
      </w:pPr>
      <w:r>
        <w:rPr/>
        <w:t>1. Usi formativi consentiti: L’IA può essere utilizzata – ove autorizzata dal docente – come supporto allo studio: chiarimento di concetti complessi, brainstorming, simulazioni, traduzioni comparative, supporto alla strutturazione di mappe concettuali.</w:t>
      </w:r>
    </w:p>
    <w:p>
      <w:pPr>
        <w:pStyle w:val="Normal"/>
        <w:spacing w:lineRule="auto" w:line="276" w:before="0" w:after="120"/>
        <w:rPr/>
      </w:pPr>
      <w:r>
        <w:rPr/>
        <w:t>2. Usi vietati (Ghostwriting e sostituzione cognitiva): È fatto divieto assoluto di presentare elaborati, relazioni o compiti generati integralmente o prevalentemente dall'IA come opera propria, nonché di ricorrere all'IA durante le prove di verifica sommativa in aula senza esplicita autorizzazione.</w:t>
      </w:r>
    </w:p>
    <w:p>
      <w:pPr>
        <w:pStyle w:val="Normal"/>
        <w:spacing w:lineRule="auto" w:line="276" w:before="0" w:after="120"/>
        <w:rPr/>
      </w:pPr>
      <w:r>
        <w:rPr/>
        <w:t>3. Obbligo di trasparenza e citazione: Lo studente è tenuto a dichiarare con trasparenza l’utilizzo di strumenti di IA qualora abbiano fornito un contributo sostanziale all'elaborato, indicando lo strumento utilizzato e la tipologia di interazione svolta.</w:t>
      </w:r>
    </w:p>
    <w:p>
      <w:pPr>
        <w:pStyle w:val="Normal"/>
        <w:spacing w:lineRule="auto" w:line="276" w:before="0" w:after="120"/>
        <w:rPr/>
      </w:pPr>
      <w:r>
        <w:rPr/>
        <w:t>4. Divieto di usi lesivi e deepfake: Costituisce infrazione gravissima la creazione, manipolazione o diffusione di contenuti multimediali (immagini, audio, video) raffiguranti membri della comunità scolastica senza consenso o con finalità denigratorie, diffamatorie o lesive della dignità personale (bullismo e cyberbullismo).</w:t>
      </w:r>
    </w:p>
    <w:p>
      <w:pPr>
        <w:pStyle w:val="Normal"/>
        <w:spacing w:lineRule="auto" w:line="276" w:before="0" w:after="120"/>
        <w:rPr/>
      </w:pPr>
      <w:r>
        <w:rPr/>
        <w:t>5. Gradualità per biennio e triennio: Nel primo biennio l’impiego dell’IA avviene prioritariamente sotto la guida diretta del docente; nel secondo biennio e nel quinto anno è favorito un uso progressivamente autonomo e orientato alle discipline di indirizzo.</w:t>
      </w:r>
    </w:p>
    <w:p>
      <w:pPr>
        <w:pStyle w:val="Normal"/>
        <w:spacing w:lineRule="auto" w:line="276" w:before="0" w:after="120"/>
        <w:rPr/>
      </w:pPr>
      <w:r>
        <w:rPr/>
        <w:t>6. Inclusione e accessibilità (BES/DSA): L’uso personalizzato di strumenti di IA compensativi (sintesi vocale, mappe, tutor adattivi) è pienamente promosso in coerenza con quanto previsto nel Piano Didattico Personalizzato (PDP) o Piano Educativo Individualizzato (PEI).</w:t>
      </w:r>
    </w:p>
    <w:p>
      <w:pPr>
        <w:pStyle w:val="Normal"/>
        <w:spacing w:lineRule="auto" w:line="276" w:before="0" w:after="120"/>
        <w:rPr/>
      </w:pPr>
      <w:r>
        <w:rPr/>
        <w:t>7. Ambito FSL: L’impiego di strumenti di IA nei percorsi di alternanza scuola-lavoro deve conformarsi alle disposizioni dell'ente ospitante, con divieto assoluto di immettere dati aziendali riservati in piattaforme pubbliche.</w:t>
      </w:r>
    </w:p>
    <w:p>
      <w:pPr>
        <w:pStyle w:val="Normal"/>
        <w:spacing w:lineRule="auto" w:line="276" w:before="0" w:after="120"/>
        <w:rPr/>
      </w:pPr>
      <w:r>
        <w:rPr/>
        <w:t>8. Diritto d'autore: I testi e i contenuti generati integralmente da IA non sono tutelati dal diritto d'autore (L. 633/1941). Lo studente è responsabile dell'originalità e dell'apporto personale riconoscibile presente nei propri lavori.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5 – Diritti e Doveri del Personale ATA e degli Uffici</w:t>
      </w:r>
    </w:p>
    <w:p>
      <w:pPr>
        <w:pStyle w:val="Normal"/>
        <w:spacing w:lineRule="auto" w:line="276" w:before="0" w:after="120"/>
        <w:rPr/>
      </w:pPr>
      <w:r>
        <w:rPr/>
        <w:t>1. Il personale ATA e degli uffici di segreteria può avvalersi di strumenti di IA approvati per supportare l'efficienza amministrativa, la redazione di bozze documentali e l'organizzazione dei flussi di lavoro.</w:t>
      </w:r>
    </w:p>
    <w:p>
      <w:pPr>
        <w:pStyle w:val="Normal"/>
        <w:spacing w:lineRule="auto" w:line="276" w:before="0" w:after="120"/>
        <w:rPr/>
      </w:pPr>
      <w:r>
        <w:rPr/>
        <w:t>2. Validazione umana: Qualsiasi atto, comunicazione o documento predisposto con il supporto dell'IA deve essere attentamente verificato e validato dal responsabile del procedimento, che ne assume la piena paternità e conformità.</w:t>
      </w:r>
    </w:p>
    <w:p>
      <w:pPr>
        <w:pStyle w:val="Normal"/>
        <w:spacing w:lineRule="auto" w:line="276" w:before="0" w:after="120"/>
        <w:rPr/>
      </w:pPr>
      <w:r>
        <w:rPr/>
        <w:t>3. Riservatezza dei dati: È fatto tassativo divieto di inserire in sistemi di IA generica o non coperti da apposita convenzione d'Istituto dati personali, dati particolari (sensibili), fascicoli personali di studenti o dipendenti e informazioni riservate.</w:t>
      </w:r>
    </w:p>
    <w:p>
      <w:pPr>
        <w:pStyle w:val="Normal"/>
        <w:spacing w:lineRule="auto" w:line="276" w:before="0" w:after="120"/>
        <w:rPr/>
      </w:pPr>
      <w:r>
        <w:rPr/>
        <w:t>4. Divieto di decisioni amministrative automatizzate: È vietato l'uso di sistemi di IA per l'adozione di decisioni automatizzate che producano effetti giuridici o incidano significativamente sulle persone (art. 22 GDPR).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6 – Condizioni di Utilizzo e Protezione dei Dati</w:t>
      </w:r>
    </w:p>
    <w:p>
      <w:pPr>
        <w:pStyle w:val="Normal"/>
        <w:spacing w:lineRule="auto" w:line="276" w:before="0" w:after="120"/>
        <w:rPr/>
      </w:pPr>
      <w:r>
        <w:rPr/>
        <w:t>1. Account istituzionali e base giuridica: Le attività didattiche e amministrative con strumenti di IA si svolgono prioritariamente mediante gli account e gli ambienti istituzionali protetti (Workspace for Education / Microsoft 365 Education). Il trattamento dei dati per finalità istituzionali e didattiche si fonda sull’adempimento del compito di interesse pubblico (Art. 6, par. 1, lett. e GDPR), accompagnato dalla sottoscrizione del Patto di Corresponsabilità e Informativa (Allegato A).</w:t>
      </w:r>
    </w:p>
    <w:p>
      <w:pPr>
        <w:pStyle w:val="Normal"/>
        <w:spacing w:lineRule="auto" w:line="276" w:before="0" w:after="120"/>
        <w:rPr/>
      </w:pPr>
      <w:r>
        <w:rPr/>
        <w:t>2. Età minima e Termini di Servizio: L'accesso a piattaforme esterne è subordinato al rispetto dei limiti di età previsti dai rispettivi fornitori e dalle norme applicabili.</w:t>
      </w:r>
    </w:p>
    <w:p>
      <w:pPr>
        <w:pStyle w:val="Normal"/>
        <w:spacing w:lineRule="auto" w:line="276" w:before="0" w:after="120"/>
        <w:rPr/>
      </w:pPr>
      <w:r>
        <w:rPr/>
        <w:t>3. Garanzie sui dati e trasferimenti extra-UE: L'Istituto seleziona fornitori che garantiscano l'assenza di utilizzo dei dati scolastici per l'addestramento di modelli pubblici e il rispetto delle clausole contrattuali standard (SCC) per eventuali trasferimenti di dati extra-UE.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7 – Strumenti Ammessi e Strumenti Vietati (White-list)</w:t>
      </w:r>
    </w:p>
    <w:p>
      <w:pPr>
        <w:pStyle w:val="Normal"/>
        <w:spacing w:lineRule="auto" w:line="276" w:before="0" w:after="120"/>
        <w:rPr/>
      </w:pPr>
      <w:r>
        <w:rPr/>
        <w:t>1. Ruolo di Deployer: L’Istituto agisce quale utilizzatore/distributore (deployer) dei sistemi di IA ai sensi dell'AI Act, assumendosi la responsabilità dell'adozione conforme e consapevole.</w:t>
      </w:r>
    </w:p>
    <w:p>
      <w:pPr>
        <w:pStyle w:val="Normal"/>
        <w:spacing w:lineRule="auto" w:line="276" w:before="0" w:after="120"/>
        <w:rPr/>
      </w:pPr>
      <w:r>
        <w:rPr/>
        <w:t>2. White-list di Istituto (Allegato B): È consentito esclusivamente l’uso degli strumenti inclusi nella White-list ufficiale, ciascuno corredato da una scheda di conformità indicante: finalità ammesse, target di utenza, requisiti di età, base di trattamento e tipologia di account.</w:t>
      </w:r>
    </w:p>
    <w:p>
      <w:pPr>
        <w:pStyle w:val="Normal"/>
        <w:spacing w:lineRule="auto" w:line="276" w:before="0" w:after="120"/>
        <w:rPr/>
      </w:pPr>
      <w:r>
        <w:rPr/>
        <w:t>3. Sistemi di IA vietati: Sono tassativamente vietati all'interno dell'Istituto i sistemi di IA finalizzati a:</w:t>
        <w:br/>
        <w:t xml:space="preserve">   a) categorizzazione biometrica o identificazione biometrica remota;</w:t>
        <w:br/>
        <w:t xml:space="preserve">   b) riconoscimento delle emozioni di studenti o personale;</w:t>
        <w:br/>
        <w:t xml:space="preserve">   c) valutazione o profilazione comportamentale automatizzata;</w:t>
        <w:br/>
        <w:t xml:space="preserve">   d) attribuzione automatica di voti o giudizi docimologici in assenza di valutazione del docente;</w:t>
        <w:br/>
        <w:t xml:space="preserve">   e) manipolazione comportamentale o sfruttamento di vulnerabilità (sistemi a rischio inaccettabile ex art. 5 AI Act).</w:t>
      </w:r>
    </w:p>
    <w:p>
      <w:pPr>
        <w:pStyle w:val="Normal"/>
        <w:spacing w:lineRule="auto" w:line="276" w:before="0" w:after="120"/>
        <w:rPr/>
      </w:pPr>
      <w:r>
        <w:rPr/>
        <w:t>4. Integrazione della White-list: Docenti e personale possono richiedere l’inserimento di nuovi applicativi tramite l’apposito modulo (Allegato B2), valutato dal Team di Governance IA e approvato dal Dirigente Scolastico, previo parere di conformità del DPO.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8 – Governance dell’IA e Sostenibilità Organizzativa</w:t>
      </w:r>
    </w:p>
    <w:p>
      <w:pPr>
        <w:pStyle w:val="Normal"/>
        <w:spacing w:lineRule="auto" w:line="276" w:before="0" w:after="120"/>
        <w:rPr/>
      </w:pPr>
      <w:r>
        <w:rPr/>
        <w:t>1. Organi di Governance: La gestione e il monitoraggio dei sistemi di IA nell'Istituto sono affidati a:</w:t>
        <w:br/>
        <w:t xml:space="preserve">   • Dirigente Scolastico: garante della conformità istituzionale e responsabile ultimo dell'adozione degli strumenti;</w:t>
        <w:br/>
        <w:t xml:space="preserve">   • DPO (Responsabile della Protezione dei Dati): consulente per la conformità privacy, pareri preventivi e DPIA (art. 35 GDPR);</w:t>
        <w:br/>
        <w:t xml:space="preserve">   • Team di Governance IA: coordinato dal Referente per l'Innovazione Didattica e l'IA, composto in raccordo con le figure già presenti nell'organigramma scolastico (Animatore Digitale, Team per l'Innovazione, Funzioni Strumentali PTOF).</w:t>
      </w:r>
    </w:p>
    <w:p>
      <w:pPr>
        <w:pStyle w:val="Normal"/>
        <w:spacing w:lineRule="auto" w:line="276" w:before="0" w:after="120"/>
        <w:rPr/>
      </w:pPr>
      <w:r>
        <w:rPr/>
        <w:t>2. Valutazioni di conformità: Per l'introduzione di piattaforme a potenziale rischio elevato, il Team e il DPO curano la redazione della DPIA e, ove prescritto dall'art. 27 dell'AI Act, della Valutazione d'Impatto sui Diritti Fondamentali (FRIA).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9 – Formazione e Cittadinanza Digitale</w:t>
      </w:r>
    </w:p>
    <w:p>
      <w:pPr>
        <w:pStyle w:val="Normal"/>
        <w:spacing w:lineRule="auto" w:line="276" w:before="0" w:after="120"/>
        <w:rPr/>
      </w:pPr>
      <w:r>
        <w:rPr/>
        <w:t>1. L’Istituto promuove percorsi formativi per docenti e personale ATA volti a sviluppare competenze di prompt engineering etico, valutazione critica degli output, privacy e sicurezza.</w:t>
      </w:r>
    </w:p>
    <w:p>
      <w:pPr>
        <w:pStyle w:val="Normal"/>
        <w:spacing w:lineRule="auto" w:line="276" w:before="0" w:after="120"/>
        <w:rPr/>
      </w:pPr>
      <w:r>
        <w:rPr/>
        <w:t>2. L’educazione all'uso critico e consapevole dell’IA è integrata nei percorsi di Educazione Civica e Cittadinanza Digitale per tutti gli studenti.</w:t>
      </w:r>
    </w:p>
    <w:p>
      <w:pPr>
        <w:pStyle w:val="Normal"/>
        <w:spacing w:lineRule="auto" w:line="276" w:before="0" w:after="120"/>
        <w:rPr/>
      </w:pPr>
      <w:r>
        <w:rPr/>
        <w:t xml:space="preserve">3. Prima dell’utilizzo di strumenti di IA da parte degli studenti, il docente assicura un’attività di alfabetizzazione minima sui rischi connessi e sulle modalità d’uso corretto degli strumenti medesimi.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10 – Sanzioni, Provvedimenti Disciplinari e Contraddittorio</w:t>
      </w:r>
    </w:p>
    <w:p>
      <w:pPr>
        <w:pStyle w:val="Normal"/>
        <w:spacing w:lineRule="auto" w:line="276" w:before="0" w:after="120"/>
        <w:rPr/>
      </w:pPr>
      <w:r>
        <w:rPr/>
        <w:t>1. La violazione delle disposizioni del presente Regolamento da parte degli studenti costituisce mancanza disciplinare e comporta sanzioni graduate secondo criteri di proporzionalità, gradualità e finalità rieducativa, nel pieno rispetto dello Statuto delle Studentesse e degli Studenti e del Regolamento di Disciplina d’Istituto.</w:t>
      </w:r>
    </w:p>
    <w:p>
      <w:pPr>
        <w:pStyle w:val="Normal"/>
        <w:spacing w:lineRule="auto" w:line="276" w:before="0" w:after="120"/>
        <w:rPr/>
      </w:pPr>
      <w:r>
        <w:rPr/>
        <w:t>2. Scala di gravità delle infrazioni:</w:t>
        <w:br/>
        <w:t xml:space="preserve">   • Infrazione Lieve: uso non autorizzato dell'IA in esercitazioni ordinarie o mancata citazione dello strumento per supporti marginali. Conseguenze: rielaborazione guidata dell'elaborato, richiamo all'onestà intellettuale e annotazione formativa;</w:t>
        <w:br/>
        <w:t xml:space="preserve">   • Infrazione Grave: consegna di elaborati con plagio conclamato da IA in prove sommative o verifiche ufficiali; uso occulto di IA durante compiti in classe. Conseguenze: annullamento della prova, verifica orale immediata di recupero, annotazione sul registro disciplinare, comunicazione alla famiglia e incidenza sulla valutazione di comportamento;</w:t>
        <w:br/>
        <w:t xml:space="preserve">   • Infrazione Gravissima: generazione e diffusione di deepfake, molestie digitali, violazione dolosa di sistemi protetti o lesione della dignità personale. Conseguenze: sanzioni disciplinari di massima gravità (sospensione) deliberate dagli organi competenti, fermo restando l'eventuale inoltro di informativa all'Autorità Giudiziaria per i profili di rilevanza penale.</w:t>
      </w:r>
    </w:p>
    <w:p>
      <w:pPr>
        <w:pStyle w:val="Normal"/>
        <w:spacing w:lineRule="auto" w:line="276" w:before="0" w:after="120"/>
        <w:rPr/>
      </w:pPr>
      <w:r>
        <w:rPr/>
        <w:t>3. Garanzia inderogabile del contraddittorio: Prima dell'irrogazione di qualsiasi provvedimento disciplinare o sanzione valutativa legata all'uso dell'IA, allo studente è sempre garantito il diritto di essere ascoltato e di esporre le proprie ragioni in un colloquio con il docente o il Consiglio di Classe.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11 – Procedura di Segnalazione Interna</w:t>
      </w:r>
    </w:p>
    <w:p>
      <w:pPr>
        <w:pStyle w:val="Normal"/>
        <w:spacing w:lineRule="auto" w:line="276" w:before="0" w:after="120"/>
        <w:rPr/>
      </w:pPr>
      <w:r>
        <w:rPr/>
        <w:t>1. Qualsiasi membro della comunità scolastica può segnalare malfunzionamenti, anomalie, rischi privacy o incidenti legati all'IA mediante l'apposito Modulo di Segnalazione (Allegato C), trasmesso al Dirigente Scolastico e al Team di Governance IA.</w:t>
      </w:r>
    </w:p>
    <w:p>
      <w:pPr>
        <w:pStyle w:val="Normal"/>
        <w:spacing w:lineRule="auto" w:line="276" w:before="0" w:after="120"/>
        <w:rPr/>
      </w:pPr>
      <w:r>
        <w:rPr/>
        <w:t>2. È garantita la piena riservatezza dell'identità del segnalante ai sensi della disciplina sul whistleblowing (D.Lgs. 24/2023) e del GDPR.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12 – Revisione Periodica</w:t>
      </w:r>
    </w:p>
    <w:p>
      <w:pPr>
        <w:pStyle w:val="Normal"/>
        <w:spacing w:lineRule="auto" w:line="276" w:before="0" w:after="120"/>
        <w:rPr/>
      </w:pPr>
      <w:r>
        <w:rPr/>
        <w:t>1. Il presente Regolamento è soggetto a monitoraggio continuo e a revisione annuale da parte del Team di Governance IA e del Dirigente Scolastico, in raccordo con il Collegio dei Docenti e il Consiglio di Istituto, per assicurarne il costante allineamento alle evoluzioni tecnologiche e normative.</w:t>
      </w:r>
    </w:p>
    <w:p>
      <w:pPr>
        <w:pStyle w:val="Heading1"/>
        <w:spacing w:before="280" w:after="120"/>
        <w:rPr/>
      </w:pPr>
      <w:r>
        <w:rPr>
          <w:b/>
          <w:color w:val="1A5276"/>
          <w:sz w:val="28"/>
        </w:rPr>
        <w:t>Art. 13 – Specificità della Sede Carceraria (Casa Circondariale di Montorio)</w:t>
      </w:r>
    </w:p>
    <w:p>
      <w:pPr>
        <w:pStyle w:val="Normal"/>
        <w:spacing w:lineRule="auto" w:line="276" w:before="0" w:after="120"/>
        <w:rPr/>
      </w:pPr>
      <w:r>
        <w:rPr/>
        <w:t>1. Nella sezione associata attiva presso la Casa Circondariale di Verona (Montorio), l’impiego di tecnologie digitali e di eventuali applicativi di IA nell'ambito dell'indirizzo Odontotecnico avviene nel rigoroso rispetto delle disposizioni e autorizzazioni dell’Amministrazione Penitenziaria e della Direzione dell’Istituto Penitenziario.</w:t>
      </w:r>
    </w:p>
    <w:p>
      <w:pPr>
        <w:pStyle w:val="Normal"/>
        <w:spacing w:lineRule="auto" w:line="276" w:before="0" w:after="120"/>
        <w:rPr/>
      </w:pPr>
      <w:r>
        <w:rPr/>
        <w:t>2. L’accesso a qualsiasi risorsa didattica assistita da IA si svolge sotto la diretta, costante supervisione del personale docente, su dispositivi dedicati privi di connessioni esterne non autorizzate e nel pieno rispetto delle norme di sicurezza penitenziaria.</w:t>
      </w:r>
    </w:p>
    <w:p>
      <w:pPr>
        <w:pStyle w:val="Normal"/>
        <w:spacing w:lineRule="auto" w:line="276" w:before="0" w:after="120"/>
        <w:rPr/>
      </w:pPr>
      <w:r>
        <w:rPr/>
        <w:t xml:space="preserve">3. Il presente Regolamento integra e non sostituisce il Regolamento d’Istituto e il Regolamento degli Uffici di Segreteria; in caso di contrasto prevalgono, per quanto di competenza, le disposizioni più rigorose in materia di protezione dei dati personali e di tutela degli studenti.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2C3E5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ferrarisfermi.it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6</Pages>
  <Words>2191</Words>
  <Characters>14195</Characters>
  <CharactersWithSpaces>16382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2026-08-25T16:47:31Z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