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00CC0">
      <w:pPr>
        <w:spacing w:before="320" w:after="80"/>
        <w:jc w:val="center"/>
      </w:pPr>
      <w:bookmarkStart w:id="0" w:name="_GoBack"/>
      <w:bookmarkEnd w:id="0"/>
      <w:r>
        <w:rPr>
          <w:rFonts w:ascii="Arial" w:hAnsi="Arial" w:eastAsia="Arial" w:cs="Arial"/>
          <w:b/>
          <w:bCs/>
          <w:color w:val="1A3558"/>
          <w:sz w:val="48"/>
          <w:szCs w:val="48"/>
        </w:rPr>
        <w:t>COMPARATIVE ANALYSIS REPORT</w:t>
      </w:r>
    </w:p>
    <w:p w14:paraId="2462BE74">
      <w:pPr>
        <w:spacing w:before="0" w:after="60"/>
        <w:jc w:val="center"/>
      </w:pPr>
      <w:r>
        <w:rPr>
          <w:rFonts w:ascii="Arial" w:hAnsi="Arial" w:eastAsia="Arial" w:cs="Arial"/>
          <w:b/>
          <w:bCs/>
          <w:color w:val="2563A8"/>
          <w:sz w:val="34"/>
          <w:szCs w:val="34"/>
        </w:rPr>
        <w:t>Google Workspace vs. Microsoft 365</w:t>
      </w:r>
    </w:p>
    <w:p w14:paraId="6428673F">
      <w:pPr>
        <w:spacing w:before="0" w:after="60"/>
        <w:jc w:val="center"/>
      </w:pPr>
      <w:r>
        <w:rPr>
          <w:rFonts w:ascii="Arial" w:hAnsi="Arial" w:eastAsia="Arial" w:cs="Arial"/>
          <w:b w:val="0"/>
          <w:bCs w:val="0"/>
          <w:color w:val="4A5568"/>
          <w:sz w:val="24"/>
          <w:szCs w:val="24"/>
        </w:rPr>
        <w:t>A Platform Evaluation for Administrative and Office Productivity</w:t>
      </w:r>
    </w:p>
    <w:p w14:paraId="620C64FF">
      <w:pPr>
        <w:spacing w:before="0" w:after="360"/>
        <w:jc w:val="center"/>
      </w:pPr>
      <w:r>
        <w:rPr>
          <w:rFonts w:ascii="Arial" w:hAnsi="Arial" w:eastAsia="Arial" w:cs="Arial"/>
          <w:b w:val="0"/>
          <w:bCs w:val="0"/>
          <w:color w:val="C5CAD3"/>
          <w:sz w:val="22"/>
          <w:szCs w:val="22"/>
        </w:rPr>
        <w:t>───────────────────────────────</w:t>
      </w:r>
    </w:p>
    <w:tbl>
      <w:tblPr>
        <w:tblStyle w:val="9"/>
        <w:tblW w:w="64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4320"/>
      </w:tblGrid>
      <w:tr w14:paraId="39BB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tcMar>
              <w:top w:w="50" w:type="dxa"/>
              <w:left w:w="80" w:type="dxa"/>
              <w:bottom w:w="50" w:type="dxa"/>
              <w:right w:w="40" w:type="dxa"/>
            </w:tcMar>
          </w:tcPr>
          <w:p w14:paraId="27013BE0">
            <w:r>
              <w:rPr>
                <w:rFonts w:ascii="Arial" w:hAnsi="Arial" w:eastAsia="Arial" w:cs="Arial"/>
                <w:b/>
                <w:bCs/>
                <w:color w:val="1A3558"/>
                <w:sz w:val="20"/>
                <w:szCs w:val="20"/>
              </w:rPr>
              <w:t>Prepared by:</w:t>
            </w:r>
          </w:p>
        </w:tc>
        <w:tc>
          <w:tcPr>
            <w:tcW w:w="4320" w:type="dxa"/>
            <w:tcBorders>
              <w:top w:val="nil"/>
              <w:left w:val="nil"/>
              <w:bottom w:val="nil"/>
              <w:right w:val="nil"/>
            </w:tcBorders>
            <w:tcMar>
              <w:top w:w="50" w:type="dxa"/>
              <w:left w:w="40" w:type="dxa"/>
              <w:bottom w:w="50" w:type="dxa"/>
              <w:right w:w="80" w:type="dxa"/>
            </w:tcMar>
          </w:tcPr>
          <w:p w14:paraId="4F323112">
            <w:r>
              <w:rPr>
                <w:rFonts w:ascii="Arial" w:hAnsi="Arial" w:eastAsia="Arial" w:cs="Arial"/>
                <w:b w:val="0"/>
                <w:bCs w:val="0"/>
                <w:color w:val="1A1A1A"/>
                <w:sz w:val="20"/>
                <w:szCs w:val="20"/>
              </w:rPr>
              <w:t>Maria Santos, Administrative Officer</w:t>
            </w:r>
          </w:p>
        </w:tc>
      </w:tr>
      <w:tr w14:paraId="4753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tcMar>
              <w:top w:w="50" w:type="dxa"/>
              <w:left w:w="80" w:type="dxa"/>
              <w:bottom w:w="50" w:type="dxa"/>
              <w:right w:w="40" w:type="dxa"/>
            </w:tcMar>
          </w:tcPr>
          <w:p w14:paraId="52477B1B">
            <w:r>
              <w:rPr>
                <w:rFonts w:ascii="Arial" w:hAnsi="Arial" w:eastAsia="Arial" w:cs="Arial"/>
                <w:b/>
                <w:bCs/>
                <w:color w:val="1A3558"/>
                <w:sz w:val="20"/>
                <w:szCs w:val="20"/>
              </w:rPr>
              <w:t>Organization:</w:t>
            </w:r>
          </w:p>
        </w:tc>
        <w:tc>
          <w:tcPr>
            <w:tcW w:w="4320" w:type="dxa"/>
            <w:tcBorders>
              <w:top w:val="nil"/>
              <w:left w:val="nil"/>
              <w:bottom w:val="nil"/>
              <w:right w:val="nil"/>
            </w:tcBorders>
            <w:tcMar>
              <w:top w:w="50" w:type="dxa"/>
              <w:left w:w="40" w:type="dxa"/>
              <w:bottom w:w="50" w:type="dxa"/>
              <w:right w:w="80" w:type="dxa"/>
            </w:tcMar>
          </w:tcPr>
          <w:p w14:paraId="1E659426">
            <w:r>
              <w:rPr>
                <w:rFonts w:ascii="Arial" w:hAnsi="Arial" w:eastAsia="Arial" w:cs="Arial"/>
                <w:b w:val="0"/>
                <w:bCs w:val="0"/>
                <w:color w:val="1A1A1A"/>
                <w:sz w:val="20"/>
                <w:szCs w:val="20"/>
              </w:rPr>
              <w:t>Northgate Solutions Inc.</w:t>
            </w:r>
          </w:p>
        </w:tc>
      </w:tr>
      <w:tr w14:paraId="4523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tcMar>
              <w:top w:w="50" w:type="dxa"/>
              <w:left w:w="80" w:type="dxa"/>
              <w:bottom w:w="50" w:type="dxa"/>
              <w:right w:w="40" w:type="dxa"/>
            </w:tcMar>
          </w:tcPr>
          <w:p w14:paraId="76B7EE38">
            <w:r>
              <w:rPr>
                <w:rFonts w:ascii="Arial" w:hAnsi="Arial" w:eastAsia="Arial" w:cs="Arial"/>
                <w:b/>
                <w:bCs/>
                <w:color w:val="1A3558"/>
                <w:sz w:val="20"/>
                <w:szCs w:val="20"/>
              </w:rPr>
              <w:t>Department:</w:t>
            </w:r>
          </w:p>
        </w:tc>
        <w:tc>
          <w:tcPr>
            <w:tcW w:w="4320" w:type="dxa"/>
            <w:tcBorders>
              <w:top w:val="nil"/>
              <w:left w:val="nil"/>
              <w:bottom w:val="nil"/>
              <w:right w:val="nil"/>
            </w:tcBorders>
            <w:tcMar>
              <w:top w:w="50" w:type="dxa"/>
              <w:left w:w="40" w:type="dxa"/>
              <w:bottom w:w="50" w:type="dxa"/>
              <w:right w:w="80" w:type="dxa"/>
            </w:tcMar>
          </w:tcPr>
          <w:p w14:paraId="06A4CE96">
            <w:r>
              <w:rPr>
                <w:rFonts w:ascii="Arial" w:hAnsi="Arial" w:eastAsia="Arial" w:cs="Arial"/>
                <w:b w:val="0"/>
                <w:bCs w:val="0"/>
                <w:color w:val="1A1A1A"/>
                <w:sz w:val="20"/>
                <w:szCs w:val="20"/>
              </w:rPr>
              <w:t>Operations Department</w:t>
            </w:r>
          </w:p>
        </w:tc>
      </w:tr>
      <w:tr w14:paraId="5BE9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tcMar>
              <w:top w:w="50" w:type="dxa"/>
              <w:left w:w="80" w:type="dxa"/>
              <w:bottom w:w="50" w:type="dxa"/>
              <w:right w:w="40" w:type="dxa"/>
            </w:tcMar>
          </w:tcPr>
          <w:p w14:paraId="54E50281">
            <w:r>
              <w:rPr>
                <w:rFonts w:ascii="Arial" w:hAnsi="Arial" w:eastAsia="Arial" w:cs="Arial"/>
                <w:b/>
                <w:bCs/>
                <w:color w:val="1A3558"/>
                <w:sz w:val="20"/>
                <w:szCs w:val="20"/>
              </w:rPr>
              <w:t>Report Date:</w:t>
            </w:r>
          </w:p>
        </w:tc>
        <w:tc>
          <w:tcPr>
            <w:tcW w:w="4320" w:type="dxa"/>
            <w:tcBorders>
              <w:top w:val="nil"/>
              <w:left w:val="nil"/>
              <w:bottom w:val="nil"/>
              <w:right w:val="nil"/>
            </w:tcBorders>
            <w:tcMar>
              <w:top w:w="50" w:type="dxa"/>
              <w:left w:w="40" w:type="dxa"/>
              <w:bottom w:w="50" w:type="dxa"/>
              <w:right w:w="80" w:type="dxa"/>
            </w:tcMar>
          </w:tcPr>
          <w:p w14:paraId="0BB8C23E">
            <w:r>
              <w:rPr>
                <w:rFonts w:ascii="Arial" w:hAnsi="Arial" w:eastAsia="Arial" w:cs="Arial"/>
                <w:b w:val="0"/>
                <w:bCs w:val="0"/>
                <w:color w:val="1A1A1A"/>
                <w:sz w:val="20"/>
                <w:szCs w:val="20"/>
              </w:rPr>
              <w:t>April 14, 2025</w:t>
            </w:r>
          </w:p>
        </w:tc>
      </w:tr>
      <w:tr w14:paraId="7EEAA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tcMar>
              <w:top w:w="50" w:type="dxa"/>
              <w:left w:w="80" w:type="dxa"/>
              <w:bottom w:w="50" w:type="dxa"/>
              <w:right w:w="40" w:type="dxa"/>
            </w:tcMar>
          </w:tcPr>
          <w:p w14:paraId="6F199655">
            <w:r>
              <w:rPr>
                <w:rFonts w:ascii="Arial" w:hAnsi="Arial" w:eastAsia="Arial" w:cs="Arial"/>
                <w:b/>
                <w:bCs/>
                <w:color w:val="1A3558"/>
                <w:sz w:val="20"/>
                <w:szCs w:val="20"/>
              </w:rPr>
              <w:t>Report Type:</w:t>
            </w:r>
          </w:p>
        </w:tc>
        <w:tc>
          <w:tcPr>
            <w:tcW w:w="4320" w:type="dxa"/>
            <w:tcBorders>
              <w:top w:val="nil"/>
              <w:left w:val="nil"/>
              <w:bottom w:val="nil"/>
              <w:right w:val="nil"/>
            </w:tcBorders>
            <w:tcMar>
              <w:top w:w="50" w:type="dxa"/>
              <w:left w:w="40" w:type="dxa"/>
              <w:bottom w:w="50" w:type="dxa"/>
              <w:right w:w="80" w:type="dxa"/>
            </w:tcMar>
          </w:tcPr>
          <w:p w14:paraId="45115307">
            <w:r>
              <w:rPr>
                <w:rFonts w:ascii="Arial" w:hAnsi="Arial" w:eastAsia="Arial" w:cs="Arial"/>
                <w:b w:val="0"/>
                <w:bCs w:val="0"/>
                <w:color w:val="1A1A1A"/>
                <w:sz w:val="20"/>
                <w:szCs w:val="20"/>
              </w:rPr>
              <w:t>Comparative Technology Assessment</w:t>
            </w:r>
          </w:p>
        </w:tc>
      </w:tr>
      <w:tr w14:paraId="4CBC4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tcMar>
              <w:top w:w="50" w:type="dxa"/>
              <w:left w:w="80" w:type="dxa"/>
              <w:bottom w:w="50" w:type="dxa"/>
              <w:right w:w="40" w:type="dxa"/>
            </w:tcMar>
          </w:tcPr>
          <w:p w14:paraId="79DE09BD">
            <w:r>
              <w:rPr>
                <w:rFonts w:ascii="Arial" w:hAnsi="Arial" w:eastAsia="Arial" w:cs="Arial"/>
                <w:b/>
                <w:bCs/>
                <w:color w:val="1A3558"/>
                <w:sz w:val="20"/>
                <w:szCs w:val="20"/>
              </w:rPr>
              <w:t>Intended for:</w:t>
            </w:r>
          </w:p>
        </w:tc>
        <w:tc>
          <w:tcPr>
            <w:tcW w:w="4320" w:type="dxa"/>
            <w:tcBorders>
              <w:top w:val="nil"/>
              <w:left w:val="nil"/>
              <w:bottom w:val="nil"/>
              <w:right w:val="nil"/>
            </w:tcBorders>
            <w:tcMar>
              <w:top w:w="50" w:type="dxa"/>
              <w:left w:w="40" w:type="dxa"/>
              <w:bottom w:w="50" w:type="dxa"/>
              <w:right w:w="80" w:type="dxa"/>
            </w:tcMar>
          </w:tcPr>
          <w:p w14:paraId="49B966AA">
            <w:r>
              <w:rPr>
                <w:rFonts w:ascii="Arial" w:hAnsi="Arial" w:eastAsia="Arial" w:cs="Arial"/>
                <w:b w:val="0"/>
                <w:bCs w:val="0"/>
                <w:color w:val="1A1A1A"/>
                <w:sz w:val="20"/>
                <w:szCs w:val="20"/>
              </w:rPr>
              <w:t>Management — IT &amp; Operations Decision Makers</w:t>
            </w:r>
          </w:p>
        </w:tc>
      </w:tr>
      <w:tr w14:paraId="76541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tcMar>
              <w:top w:w="50" w:type="dxa"/>
              <w:left w:w="80" w:type="dxa"/>
              <w:bottom w:w="50" w:type="dxa"/>
              <w:right w:w="40" w:type="dxa"/>
            </w:tcMar>
          </w:tcPr>
          <w:p w14:paraId="5ABCF984">
            <w:r>
              <w:rPr>
                <w:rFonts w:ascii="Arial" w:hAnsi="Arial" w:eastAsia="Arial" w:cs="Arial"/>
                <w:b/>
                <w:bCs/>
                <w:color w:val="1A3558"/>
                <w:sz w:val="20"/>
                <w:szCs w:val="20"/>
              </w:rPr>
              <w:t>Classification:</w:t>
            </w:r>
          </w:p>
        </w:tc>
        <w:tc>
          <w:tcPr>
            <w:tcW w:w="4320" w:type="dxa"/>
            <w:tcBorders>
              <w:top w:val="nil"/>
              <w:left w:val="nil"/>
              <w:bottom w:val="nil"/>
              <w:right w:val="nil"/>
            </w:tcBorders>
            <w:tcMar>
              <w:top w:w="50" w:type="dxa"/>
              <w:left w:w="40" w:type="dxa"/>
              <w:bottom w:w="50" w:type="dxa"/>
              <w:right w:w="80" w:type="dxa"/>
            </w:tcMar>
          </w:tcPr>
          <w:p w14:paraId="65971F8C">
            <w:r>
              <w:rPr>
                <w:rFonts w:ascii="Arial" w:hAnsi="Arial" w:eastAsia="Arial" w:cs="Arial"/>
                <w:b w:val="0"/>
                <w:bCs w:val="0"/>
                <w:color w:val="1A1A1A"/>
                <w:sz w:val="20"/>
                <w:szCs w:val="20"/>
              </w:rPr>
              <w:t>Confidential — For Internal Use Only</w:t>
            </w:r>
          </w:p>
        </w:tc>
      </w:tr>
    </w:tbl>
    <w:p w14:paraId="46493561">
      <w:pPr>
        <w:spacing w:before="200" w:after="60"/>
      </w:pPr>
    </w:p>
    <w:p w14:paraId="464FF938">
      <w:pPr>
        <w:pBdr>
          <w:bottom w:val="single" w:color="1A3558" w:sz="16" w:space="1"/>
        </w:pBdr>
        <w:spacing w:before="0" w:after="0"/>
      </w:pPr>
    </w:p>
    <w:p w14:paraId="48CBE75E">
      <w:pPr>
        <w:spacing w:before="60" w:after="40"/>
      </w:pPr>
    </w:p>
    <w:p w14:paraId="244276AF">
      <w:pPr>
        <w:pStyle w:val="2"/>
      </w:pPr>
      <w:r>
        <w:rPr>
          <w:rFonts w:ascii="Arial" w:hAnsi="Arial" w:eastAsia="Arial" w:cs="Arial"/>
          <w:b/>
          <w:bCs/>
          <w:color w:val="1A3558"/>
          <w:sz w:val="30"/>
          <w:szCs w:val="30"/>
        </w:rPr>
        <w:t>1.  Executive Summary</w:t>
      </w:r>
    </w:p>
    <w:p w14:paraId="6FB2163F">
      <w:pPr>
        <w:spacing w:before="0" w:after="160" w:line="280" w:lineRule="auto"/>
      </w:pPr>
      <w:r>
        <w:rPr>
          <w:rFonts w:ascii="Arial" w:hAnsi="Arial" w:eastAsia="Arial" w:cs="Arial"/>
          <w:b w:val="0"/>
          <w:bCs w:val="0"/>
          <w:color w:val="1A1A1A"/>
          <w:sz w:val="22"/>
          <w:szCs w:val="22"/>
        </w:rPr>
        <w:t xml:space="preserve">This report presents a structured comparison of two leading cloud-based productivity platforms — </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740A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20" w:type="dxa"/>
            <w:tcBorders>
              <w:top w:val="single" w:color="1A3558" w:sz="16" w:space="0"/>
              <w:left w:val="single" w:color="2563A8" w:sz="16" w:space="0"/>
              <w:bottom w:val="single" w:color="1A3558" w:sz="16" w:space="0"/>
              <w:right w:val="single" w:color="2563A8" w:sz="16" w:space="0"/>
            </w:tcBorders>
            <w:shd w:val="clear" w:color="auto" w:fill="D6E8FA"/>
            <w:tcMar>
              <w:top w:w="120" w:type="dxa"/>
              <w:left w:w="200" w:type="dxa"/>
              <w:bottom w:w="120" w:type="dxa"/>
              <w:right w:w="200" w:type="dxa"/>
            </w:tcMar>
          </w:tcPr>
          <w:p w14:paraId="679A7946">
            <w:r>
              <w:rPr>
                <w:rFonts w:ascii="Arial" w:hAnsi="Arial" w:eastAsia="Arial" w:cs="Arial"/>
                <w:b/>
                <w:bCs/>
                <w:color w:val="1A3558"/>
                <w:sz w:val="22"/>
                <w:szCs w:val="22"/>
              </w:rPr>
              <w:t>KEY FINDINGS AT A GLANCE</w:t>
            </w:r>
          </w:p>
          <w:p w14:paraId="597984C0">
            <w:pPr>
              <w:spacing w:before="40" w:after="20"/>
            </w:pPr>
          </w:p>
          <w:p w14:paraId="681ABEB9">
            <w:pPr>
              <w:pStyle w:val="14"/>
              <w:numPr>
                <w:ilvl w:val="0"/>
                <w:numId w:val="1"/>
              </w:numPr>
              <w:spacing w:before="40" w:after="40"/>
            </w:pPr>
            <w:r>
              <w:rPr>
                <w:rFonts w:ascii="Arial" w:hAnsi="Arial" w:eastAsia="Arial" w:cs="Arial"/>
                <w:b/>
                <w:bCs/>
                <w:color w:val="106EBE"/>
                <w:sz w:val="22"/>
                <w:szCs w:val="22"/>
              </w:rPr>
              <w:t xml:space="preserve">Microsoft 365 </w:t>
            </w:r>
            <w:r>
              <w:rPr>
                <w:rFonts w:ascii="Arial" w:hAnsi="Arial" w:eastAsia="Arial" w:cs="Arial"/>
                <w:b w:val="0"/>
                <w:bCs w:val="0"/>
                <w:color w:val="1A1A1A"/>
                <w:sz w:val="22"/>
                <w:szCs w:val="22"/>
              </w:rPr>
              <w:t>leads overall for organizations requiring advanced offline functionality, deep document formatting, and enterprise-grade security compliance.</w:t>
            </w:r>
          </w:p>
          <w:p w14:paraId="4F470E21">
            <w:pPr>
              <w:pStyle w:val="14"/>
              <w:numPr>
                <w:ilvl w:val="0"/>
                <w:numId w:val="1"/>
              </w:numPr>
              <w:spacing w:before="40" w:after="40"/>
            </w:pPr>
            <w:r>
              <w:rPr>
                <w:rFonts w:ascii="Arial" w:hAnsi="Arial" w:eastAsia="Arial" w:cs="Arial"/>
                <w:b/>
                <w:bCs/>
                <w:color w:val="1967D2"/>
                <w:sz w:val="22"/>
                <w:szCs w:val="22"/>
              </w:rPr>
              <w:t xml:space="preserve">Google Workspace </w:t>
            </w:r>
            <w:r>
              <w:rPr>
                <w:rFonts w:ascii="Arial" w:hAnsi="Arial" w:eastAsia="Arial" w:cs="Arial"/>
                <w:b w:val="0"/>
                <w:bCs w:val="0"/>
                <w:color w:val="1A1A1A"/>
                <w:sz w:val="22"/>
                <w:szCs w:val="22"/>
              </w:rPr>
              <w:t>leads for teams prioritizing real-time collaboration, browser-based accessibility, and simplified IT management.</w:t>
            </w:r>
          </w:p>
          <w:p w14:paraId="6A009770">
            <w:pPr>
              <w:pStyle w:val="14"/>
              <w:numPr>
                <w:ilvl w:val="0"/>
                <w:numId w:val="1"/>
              </w:numPr>
              <w:spacing w:before="40" w:after="40"/>
            </w:pPr>
            <w:r>
              <w:rPr>
                <w:rFonts w:ascii="Arial" w:hAnsi="Arial" w:eastAsia="Arial" w:cs="Arial"/>
                <w:b w:val="0"/>
                <w:bCs w:val="0"/>
                <w:color w:val="1A1A1A"/>
                <w:sz w:val="22"/>
                <w:szCs w:val="22"/>
              </w:rPr>
              <w:t xml:space="preserve">For </w:t>
            </w:r>
            <w:r>
              <w:rPr>
                <w:rFonts w:ascii="Arial" w:hAnsi="Arial" w:eastAsia="Arial" w:cs="Arial"/>
                <w:b/>
                <w:bCs/>
                <w:color w:val="1A3558"/>
                <w:sz w:val="22"/>
                <w:szCs w:val="22"/>
              </w:rPr>
              <w:t>data encoding and records management roles</w:t>
            </w:r>
            <w:r>
              <w:rPr>
                <w:rFonts w:ascii="Arial" w:hAnsi="Arial" w:eastAsia="Arial" w:cs="Arial"/>
                <w:b w:val="0"/>
                <w:bCs w:val="0"/>
                <w:color w:val="1A1A1A"/>
                <w:sz w:val="22"/>
                <w:szCs w:val="22"/>
              </w:rPr>
              <w:t>, both platforms are highly capable — the decision depends primarily on existing IT infrastructure.</w:t>
            </w:r>
          </w:p>
          <w:p w14:paraId="3847CC69">
            <w:pPr>
              <w:pStyle w:val="14"/>
              <w:numPr>
                <w:ilvl w:val="0"/>
                <w:numId w:val="1"/>
              </w:numPr>
              <w:spacing w:before="40" w:after="40"/>
            </w:pPr>
            <w:r>
              <w:rPr>
                <w:rFonts w:ascii="Arial" w:hAnsi="Arial" w:eastAsia="Arial" w:cs="Arial"/>
                <w:b w:val="0"/>
                <w:bCs w:val="0"/>
                <w:color w:val="1A1A1A"/>
                <w:sz w:val="22"/>
                <w:szCs w:val="22"/>
              </w:rPr>
              <w:t xml:space="preserve">Primary recommendation for Northgate Solutions Inc.: </w:t>
            </w:r>
            <w:r>
              <w:rPr>
                <w:rFonts w:ascii="Arial" w:hAnsi="Arial" w:eastAsia="Arial" w:cs="Arial"/>
                <w:b/>
                <w:bCs/>
                <w:color w:val="106EBE"/>
                <w:sz w:val="22"/>
                <w:szCs w:val="22"/>
              </w:rPr>
              <w:t>Microsoft 365</w:t>
            </w:r>
            <w:r>
              <w:rPr>
                <w:rFonts w:ascii="Arial" w:hAnsi="Arial" w:eastAsia="Arial" w:cs="Arial"/>
                <w:b w:val="0"/>
                <w:bCs w:val="0"/>
                <w:color w:val="1A1A1A"/>
                <w:sz w:val="22"/>
                <w:szCs w:val="22"/>
              </w:rPr>
              <w:t>, given existing Windows infrastructure and document-heavy workflows.</w:t>
            </w:r>
          </w:p>
        </w:tc>
      </w:tr>
    </w:tbl>
    <w:p w14:paraId="1CBD42C0">
      <w:pPr>
        <w:spacing w:before="120" w:after="40"/>
      </w:pPr>
    </w:p>
    <w:p w14:paraId="2AC3B427">
      <w:pPr>
        <w:spacing w:before="0" w:after="160" w:line="280" w:lineRule="auto"/>
      </w:pPr>
      <w:r>
        <w:rPr>
          <w:rFonts w:ascii="Arial" w:hAnsi="Arial" w:eastAsia="Arial" w:cs="Arial"/>
          <w:b w:val="0"/>
          <w:bCs w:val="0"/>
          <w:color w:val="1A1A1A"/>
          <w:sz w:val="22"/>
          <w:szCs w:val="22"/>
        </w:rPr>
        <w:t>Google Workspace (formerly G Suite) and Microsoft 365 (formerly Office 365) are the two dominant cloud productivity suites used by organizations worldwide. Both platforms offer word processing, spreadsheet, presentation, email, and cloud storage tools. This report evaluates them across six key dimensions relevant to administrative and records management functions: collaboration, productivity applications, storage, security, pricing, and offline functionality.</w:t>
      </w:r>
    </w:p>
    <w:p w14:paraId="5B074662">
      <w:pPr>
        <w:pStyle w:val="2"/>
      </w:pPr>
      <w:r>
        <w:rPr>
          <w:rFonts w:ascii="Arial" w:hAnsi="Arial" w:eastAsia="Arial" w:cs="Arial"/>
          <w:b/>
          <w:bCs/>
          <w:color w:val="1A3558"/>
          <w:sz w:val="30"/>
          <w:szCs w:val="30"/>
        </w:rPr>
        <w:t>2.  Background &amp; Scope</w:t>
      </w:r>
    </w:p>
    <w:p w14:paraId="004B674F">
      <w:pPr>
        <w:spacing w:before="0" w:after="160" w:line="280" w:lineRule="auto"/>
      </w:pPr>
      <w:r>
        <w:rPr>
          <w:rFonts w:ascii="Arial" w:hAnsi="Arial" w:eastAsia="Arial" w:cs="Arial"/>
          <w:b w:val="0"/>
          <w:bCs w:val="0"/>
          <w:color w:val="1A1A1A"/>
          <w:sz w:val="22"/>
          <w:szCs w:val="22"/>
        </w:rPr>
        <w:t>Northgate Solutions Inc. is evaluating platform options as part of its 2025 Digital Workplace Initiative. The Operations Department, which handles administrative services, data encoding, records management, and document processing, requires a reliable, scalable, and collaborative platform that supports the following workflows:</w:t>
      </w:r>
    </w:p>
    <w:p w14:paraId="361ECD2C">
      <w:pPr>
        <w:pStyle w:val="14"/>
        <w:numPr>
          <w:ilvl w:val="0"/>
          <w:numId w:val="1"/>
        </w:numPr>
        <w:spacing w:before="40" w:after="40"/>
      </w:pPr>
      <w:r>
        <w:rPr>
          <w:rFonts w:ascii="Arial" w:hAnsi="Arial" w:eastAsia="Arial" w:cs="Arial"/>
          <w:b w:val="0"/>
          <w:bCs w:val="0"/>
          <w:color w:val="1A1A1A"/>
          <w:sz w:val="22"/>
          <w:szCs w:val="22"/>
        </w:rPr>
        <w:t>Document drafting, editing, and version control (memos, reports, letters)</w:t>
      </w:r>
    </w:p>
    <w:p w14:paraId="305C563B">
      <w:pPr>
        <w:pStyle w:val="14"/>
        <w:numPr>
          <w:ilvl w:val="0"/>
          <w:numId w:val="1"/>
        </w:numPr>
        <w:spacing w:before="40" w:after="40"/>
      </w:pPr>
      <w:r>
        <w:rPr>
          <w:rFonts w:ascii="Arial" w:hAnsi="Arial" w:eastAsia="Arial" w:cs="Arial"/>
          <w:b w:val="0"/>
          <w:bCs w:val="0"/>
          <w:color w:val="1A1A1A"/>
          <w:sz w:val="22"/>
          <w:szCs w:val="22"/>
        </w:rPr>
        <w:t>Database management and spreadsheet-based data entry (census and records work)</w:t>
      </w:r>
    </w:p>
    <w:p w14:paraId="752BB16D">
      <w:pPr>
        <w:pStyle w:val="14"/>
        <w:numPr>
          <w:ilvl w:val="0"/>
          <w:numId w:val="1"/>
        </w:numPr>
        <w:spacing w:before="40" w:after="40"/>
      </w:pPr>
      <w:r>
        <w:rPr>
          <w:rFonts w:ascii="Arial" w:hAnsi="Arial" w:eastAsia="Arial" w:cs="Arial"/>
          <w:b w:val="0"/>
          <w:bCs w:val="0"/>
          <w:color w:val="1A1A1A"/>
          <w:sz w:val="22"/>
          <w:szCs w:val="22"/>
        </w:rPr>
        <w:t>Internal communication and file sharing across departments</w:t>
      </w:r>
    </w:p>
    <w:p w14:paraId="6F162ABE">
      <w:pPr>
        <w:pStyle w:val="14"/>
        <w:numPr>
          <w:ilvl w:val="0"/>
          <w:numId w:val="1"/>
        </w:numPr>
        <w:spacing w:before="40" w:after="40"/>
      </w:pPr>
      <w:r>
        <w:rPr>
          <w:rFonts w:ascii="Arial" w:hAnsi="Arial" w:eastAsia="Arial" w:cs="Arial"/>
          <w:b w:val="0"/>
          <w:bCs w:val="0"/>
          <w:color w:val="1A1A1A"/>
          <w:sz w:val="22"/>
          <w:szCs w:val="22"/>
        </w:rPr>
        <w:t>Email and calendar management for scheduling and coordination</w:t>
      </w:r>
    </w:p>
    <w:p w14:paraId="40D0332E">
      <w:pPr>
        <w:pStyle w:val="14"/>
        <w:numPr>
          <w:ilvl w:val="0"/>
          <w:numId w:val="1"/>
        </w:numPr>
        <w:spacing w:before="40" w:after="40"/>
      </w:pPr>
      <w:r>
        <w:rPr>
          <w:rFonts w:ascii="Arial" w:hAnsi="Arial" w:eastAsia="Arial" w:cs="Arial"/>
          <w:b w:val="0"/>
          <w:bCs w:val="0"/>
          <w:color w:val="1A1A1A"/>
          <w:sz w:val="22"/>
          <w:szCs w:val="22"/>
        </w:rPr>
        <w:t>Cloud-based storage with access controls for confidential records</w:t>
      </w:r>
    </w:p>
    <w:p w14:paraId="60345BD5">
      <w:pPr>
        <w:spacing w:before="40" w:after="40"/>
      </w:pPr>
    </w:p>
    <w:p w14:paraId="44B07963">
      <w:pPr>
        <w:spacing w:before="0" w:after="160" w:line="280" w:lineRule="auto"/>
      </w:pPr>
      <w:r>
        <w:rPr>
          <w:rFonts w:ascii="Arial" w:hAnsi="Arial" w:eastAsia="Arial" w:cs="Arial"/>
          <w:b w:val="0"/>
          <w:bCs w:val="0"/>
          <w:color w:val="1A1A1A"/>
          <w:sz w:val="22"/>
          <w:szCs w:val="22"/>
        </w:rPr>
        <w:t>This report does not cover developer tools, advanced enterprise IT infrastructure, or specialized third-party integrations beyond core productivity use cases.</w:t>
      </w:r>
    </w:p>
    <w:p w14:paraId="4AD32FB0">
      <w:pPr>
        <w:pStyle w:val="2"/>
      </w:pPr>
      <w:r>
        <w:rPr>
          <w:rFonts w:ascii="Arial" w:hAnsi="Arial" w:eastAsia="Arial" w:cs="Arial"/>
          <w:b/>
          <w:bCs/>
          <w:color w:val="1A3558"/>
          <w:sz w:val="30"/>
          <w:szCs w:val="30"/>
        </w:rPr>
        <w:t>3.  Platform Overview</w:t>
      </w:r>
    </w:p>
    <w:p w14:paraId="69EB0EBD">
      <w:pPr>
        <w:pStyle w:val="3"/>
      </w:pPr>
      <w:r>
        <w:rPr>
          <w:rFonts w:ascii="Arial" w:hAnsi="Arial" w:eastAsia="Arial" w:cs="Arial"/>
          <w:b/>
          <w:bCs/>
          <w:color w:val="1967D2"/>
          <w:sz w:val="24"/>
          <w:szCs w:val="24"/>
        </w:rPr>
        <w:t>3.1  Google Workspace</w:t>
      </w:r>
    </w:p>
    <w:p w14:paraId="2F56521A">
      <w:pPr>
        <w:spacing w:before="0" w:after="160" w:line="280" w:lineRule="auto"/>
      </w:pPr>
      <w:r>
        <w:rPr>
          <w:rFonts w:ascii="Arial" w:hAnsi="Arial" w:eastAsia="Arial" w:cs="Arial"/>
          <w:b w:val="0"/>
          <w:bCs w:val="0"/>
          <w:color w:val="1A1A1A"/>
          <w:sz w:val="22"/>
          <w:szCs w:val="22"/>
        </w:rPr>
        <w:t>Google Workspace is a cloud-native productivity suite developed by Google, launched in 2006 as Google Apps and rebranded in 2020. It is built entirely around browser-based applications and real-time collaboration. Core applications include Gmail, Google Docs, Google Sheets, Google Slides, Google Drive, Google Meet, and Google Calendar. As of 2024, Google Workspace serves over 10 million paying businesses globally, with particular strength in startups, educational institutions, and distributed teams.</w:t>
      </w:r>
    </w:p>
    <w:p w14:paraId="205A2C2D">
      <w:pPr>
        <w:spacing w:before="0" w:after="160" w:line="280" w:lineRule="auto"/>
      </w:pPr>
      <w:r>
        <w:rPr>
          <w:rFonts w:ascii="Arial" w:hAnsi="Arial" w:eastAsia="Arial" w:cs="Arial"/>
          <w:b w:val="0"/>
          <w:bCs w:val="0"/>
          <w:color w:val="1A1A1A"/>
          <w:sz w:val="22"/>
          <w:szCs w:val="22"/>
        </w:rPr>
        <w:t>Pricing starts at ₱5.99 USD per user/month (Business Starter) and scales to ―22 USD per user/month (Business Plus), with enterprise pricing available separately. All plans include 30 GB to 5 TB of pooled cloud storage and unlimited video conferencing.</w:t>
      </w:r>
    </w:p>
    <w:p w14:paraId="75C0F4AE">
      <w:pPr>
        <w:pStyle w:val="3"/>
      </w:pPr>
      <w:r>
        <w:rPr>
          <w:rFonts w:ascii="Arial" w:hAnsi="Arial" w:eastAsia="Arial" w:cs="Arial"/>
          <w:b/>
          <w:bCs/>
          <w:color w:val="106EBE"/>
          <w:sz w:val="24"/>
          <w:szCs w:val="24"/>
        </w:rPr>
        <w:t>3.2  Microsoft 365</w:t>
      </w:r>
    </w:p>
    <w:p w14:paraId="3976EDBC">
      <w:pPr>
        <w:spacing w:before="0" w:after="160" w:line="280" w:lineRule="auto"/>
      </w:pPr>
      <w:r>
        <w:rPr>
          <w:rFonts w:ascii="Arial" w:hAnsi="Arial" w:eastAsia="Arial" w:cs="Arial"/>
          <w:b w:val="0"/>
          <w:bCs w:val="0"/>
          <w:color w:val="1A1A1A"/>
          <w:sz w:val="22"/>
          <w:szCs w:val="22"/>
        </w:rPr>
        <w:t>Microsoft 365 is a comprehensive productivity platform developed by Microsoft, built around the industry-standard Office applications (Word, Excel, PowerPoint, Outlook, Teams, OneNote, and SharePoint). Originally released as Office 365 in 2011 and rebranded in 2020, it combines traditional desktop software with cloud-based collaboration features. Microsoft 365 is the dominant platform in enterprise environments, serving over 380 million paid seats worldwide as of 2024.</w:t>
      </w:r>
    </w:p>
    <w:p w14:paraId="1613F90C">
      <w:pPr>
        <w:spacing w:before="0" w:after="160" w:line="280" w:lineRule="auto"/>
      </w:pPr>
      <w:r>
        <w:rPr>
          <w:rFonts w:ascii="Arial" w:hAnsi="Arial" w:eastAsia="Arial" w:cs="Arial"/>
          <w:b w:val="0"/>
          <w:bCs w:val="0"/>
          <w:color w:val="1A1A1A"/>
          <w:sz w:val="22"/>
          <w:szCs w:val="22"/>
        </w:rPr>
        <w:t>Pricing starts at ₱6 USD per user/month (Business Basic) and ranges to ―22 USD per user/month (Business Premium). All plans include 1 TB of OneDrive storage per user, full desktop application installs (on higher tiers), and access to Microsoft Teams for communication and collaboration.</w:t>
      </w:r>
    </w:p>
    <w:p w14:paraId="3B9B25EB">
      <w:pPr>
        <w:pStyle w:val="2"/>
      </w:pPr>
      <w:r>
        <w:rPr>
          <w:rFonts w:ascii="Arial" w:hAnsi="Arial" w:eastAsia="Arial" w:cs="Arial"/>
          <w:b/>
          <w:bCs/>
          <w:color w:val="1A3558"/>
          <w:sz w:val="30"/>
          <w:szCs w:val="30"/>
        </w:rPr>
        <w:t>4.  Detailed Feature Comparison</w:t>
      </w:r>
    </w:p>
    <w:p w14:paraId="297ED333">
      <w:pPr>
        <w:spacing w:before="0" w:after="160" w:line="280" w:lineRule="auto"/>
      </w:pPr>
      <w:r>
        <w:rPr>
          <w:rFonts w:ascii="Arial" w:hAnsi="Arial" w:eastAsia="Arial" w:cs="Arial"/>
          <w:b w:val="0"/>
          <w:bCs w:val="0"/>
          <w:color w:val="1A1A1A"/>
          <w:sz w:val="22"/>
          <w:szCs w:val="22"/>
        </w:rPr>
        <w:t>The following table provides a side-by-side comparison of both platforms across the dimensions most relevant to administrative and records management roles.</w:t>
      </w:r>
    </w:p>
    <w:p w14:paraId="6C945D89">
      <w:pPr>
        <w:spacing w:before="60" w:after="4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160"/>
        <w:gridCol w:w="3160"/>
        <w:gridCol w:w="1600"/>
      </w:tblGrid>
      <w:tr w14:paraId="610CA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A3558" w:sz="4" w:space="0"/>
              <w:left w:val="single" w:color="1A3558" w:sz="4" w:space="0"/>
              <w:bottom w:val="single" w:color="1A3558" w:sz="4" w:space="0"/>
              <w:right w:val="single" w:color="1A3558" w:sz="4" w:space="0"/>
            </w:tcBorders>
            <w:shd w:val="clear" w:color="auto" w:fill="1A3558"/>
            <w:tcMar>
              <w:top w:w="80" w:type="dxa"/>
              <w:left w:w="120" w:type="dxa"/>
              <w:bottom w:w="80" w:type="dxa"/>
              <w:right w:w="120" w:type="dxa"/>
            </w:tcMar>
          </w:tcPr>
          <w:p w14:paraId="6BF920B1">
            <w:r>
              <w:rPr>
                <w:rFonts w:ascii="Arial" w:hAnsi="Arial" w:eastAsia="Arial" w:cs="Arial"/>
                <w:b/>
                <w:bCs/>
                <w:color w:val="FFFFFF"/>
                <w:sz w:val="20"/>
                <w:szCs w:val="20"/>
              </w:rPr>
              <w:t>Category</w:t>
            </w:r>
          </w:p>
        </w:tc>
        <w:tc>
          <w:tcPr>
            <w:tcW w:w="3160" w:type="dxa"/>
            <w:tcBorders>
              <w:top w:val="single" w:color="1A3558" w:sz="4" w:space="0"/>
              <w:left w:val="single" w:color="1A3558" w:sz="4" w:space="0"/>
              <w:bottom w:val="single" w:color="1A3558" w:sz="4" w:space="0"/>
              <w:right w:val="single" w:color="1A3558" w:sz="4" w:space="0"/>
            </w:tcBorders>
            <w:shd w:val="clear" w:color="auto" w:fill="1967D2"/>
            <w:tcMar>
              <w:top w:w="80" w:type="dxa"/>
              <w:left w:w="120" w:type="dxa"/>
              <w:bottom w:w="80" w:type="dxa"/>
              <w:right w:w="120" w:type="dxa"/>
            </w:tcMar>
          </w:tcPr>
          <w:p w14:paraId="062345DE">
            <w:pPr>
              <w:jc w:val="center"/>
            </w:pPr>
            <w:r>
              <w:rPr>
                <w:rFonts w:ascii="Arial" w:hAnsi="Arial" w:eastAsia="Arial" w:cs="Arial"/>
                <w:b/>
                <w:bCs/>
                <w:color w:val="FFFFFF"/>
                <w:sz w:val="20"/>
                <w:szCs w:val="20"/>
              </w:rPr>
              <w:t>Google Workspace</w:t>
            </w:r>
          </w:p>
        </w:tc>
        <w:tc>
          <w:tcPr>
            <w:tcW w:w="3160" w:type="dxa"/>
            <w:tcBorders>
              <w:top w:val="single" w:color="1A3558" w:sz="4" w:space="0"/>
              <w:left w:val="single" w:color="1A3558" w:sz="4" w:space="0"/>
              <w:bottom w:val="single" w:color="1A3558" w:sz="4" w:space="0"/>
              <w:right w:val="single" w:color="1A3558" w:sz="4" w:space="0"/>
            </w:tcBorders>
            <w:shd w:val="clear" w:color="auto" w:fill="106EBE"/>
            <w:tcMar>
              <w:top w:w="80" w:type="dxa"/>
              <w:left w:w="120" w:type="dxa"/>
              <w:bottom w:w="80" w:type="dxa"/>
              <w:right w:w="120" w:type="dxa"/>
            </w:tcMar>
          </w:tcPr>
          <w:p w14:paraId="31B70792">
            <w:pPr>
              <w:jc w:val="center"/>
            </w:pPr>
            <w:r>
              <w:rPr>
                <w:rFonts w:ascii="Arial" w:hAnsi="Arial" w:eastAsia="Arial" w:cs="Arial"/>
                <w:b/>
                <w:bCs/>
                <w:color w:val="FFFFFF"/>
                <w:sz w:val="20"/>
                <w:szCs w:val="20"/>
              </w:rPr>
              <w:t>Microsoft 365</w:t>
            </w:r>
          </w:p>
        </w:tc>
        <w:tc>
          <w:tcPr>
            <w:tcW w:w="1600" w:type="dxa"/>
            <w:tcBorders>
              <w:top w:val="single" w:color="1A3558" w:sz="4" w:space="0"/>
              <w:left w:val="single" w:color="1A3558" w:sz="4" w:space="0"/>
              <w:bottom w:val="single" w:color="1A3558" w:sz="4" w:space="0"/>
              <w:right w:val="single" w:color="1A3558" w:sz="4" w:space="0"/>
            </w:tcBorders>
            <w:shd w:val="clear" w:color="auto" w:fill="0F6B6B"/>
            <w:tcMar>
              <w:top w:w="80" w:type="dxa"/>
              <w:left w:w="120" w:type="dxa"/>
              <w:bottom w:w="80" w:type="dxa"/>
              <w:right w:w="120" w:type="dxa"/>
            </w:tcMar>
          </w:tcPr>
          <w:p w14:paraId="5BA74AEC">
            <w:pPr>
              <w:jc w:val="center"/>
            </w:pPr>
            <w:r>
              <w:rPr>
                <w:rFonts w:ascii="Arial" w:hAnsi="Arial" w:eastAsia="Arial" w:cs="Arial"/>
                <w:b/>
                <w:bCs/>
                <w:color w:val="FFFFFF"/>
                <w:sz w:val="20"/>
                <w:szCs w:val="20"/>
              </w:rPr>
              <w:t>Edge</w:t>
            </w:r>
          </w:p>
        </w:tc>
      </w:tr>
      <w:tr w14:paraId="6CC6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7D33DC75">
            <w:r>
              <w:rPr>
                <w:rFonts w:ascii="Arial" w:hAnsi="Arial" w:eastAsia="Arial" w:cs="Arial"/>
                <w:b/>
                <w:bCs/>
                <w:color w:val="1A3558"/>
                <w:sz w:val="20"/>
                <w:szCs w:val="20"/>
              </w:rPr>
              <w:t>Collaboration</w:t>
            </w:r>
          </w:p>
        </w:tc>
        <w:tc>
          <w:tcPr>
            <w:tcW w:w="31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4712A050">
            <w:pPr>
              <w:spacing w:before="0" w:after="0"/>
            </w:pPr>
            <w:r>
              <w:rPr>
                <w:rFonts w:ascii="Arial" w:hAnsi="Arial" w:eastAsia="Arial" w:cs="Arial"/>
                <w:b w:val="0"/>
                <w:bCs w:val="0"/>
                <w:color w:val="1A1A1A"/>
                <w:sz w:val="20"/>
                <w:szCs w:val="20"/>
              </w:rPr>
              <w:t>Best-in-class real-time co-editing; multiple users edit simultaneously with instant sync</w:t>
            </w:r>
          </w:p>
        </w:tc>
        <w:tc>
          <w:tcPr>
            <w:tcW w:w="31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16FFA583">
            <w:pPr>
              <w:spacing w:before="0" w:after="0"/>
            </w:pPr>
            <w:r>
              <w:rPr>
                <w:rFonts w:ascii="Arial" w:hAnsi="Arial" w:eastAsia="Arial" w:cs="Arial"/>
                <w:b w:val="0"/>
                <w:bCs w:val="0"/>
                <w:color w:val="1A1A1A"/>
                <w:sz w:val="20"/>
                <w:szCs w:val="20"/>
              </w:rPr>
              <w:t>Strong co-authoring via OneDrive; slight sync delays with desktop apps; Teams integration excellent</w:t>
            </w:r>
          </w:p>
        </w:tc>
        <w:tc>
          <w:tcPr>
            <w:tcW w:w="16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662550E1">
            <w:pPr>
              <w:jc w:val="center"/>
            </w:pPr>
            <w:r>
              <w:rPr>
                <w:rFonts w:ascii="Arial" w:hAnsi="Arial" w:eastAsia="Arial" w:cs="Arial"/>
                <w:b/>
                <w:bCs/>
                <w:color w:val="4A5568"/>
                <w:sz w:val="19"/>
                <w:szCs w:val="19"/>
              </w:rPr>
              <w:t>Google Workspace</w:t>
            </w:r>
          </w:p>
        </w:tc>
      </w:tr>
      <w:tr w14:paraId="2671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71FC816D">
            <w:r>
              <w:rPr>
                <w:rFonts w:ascii="Arial" w:hAnsi="Arial" w:eastAsia="Arial" w:cs="Arial"/>
                <w:b/>
                <w:bCs/>
                <w:color w:val="1A3558"/>
                <w:sz w:val="20"/>
                <w:szCs w:val="20"/>
              </w:rPr>
              <w:t>Word Processing</w:t>
            </w:r>
          </w:p>
        </w:tc>
        <w:tc>
          <w:tcPr>
            <w:tcW w:w="31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5CAF5C63">
            <w:pPr>
              <w:spacing w:before="0" w:after="0"/>
            </w:pPr>
            <w:r>
              <w:rPr>
                <w:rFonts w:ascii="Arial" w:hAnsi="Arial" w:eastAsia="Arial" w:cs="Arial"/>
                <w:b w:val="0"/>
                <w:bCs w:val="0"/>
                <w:color w:val="1A1A1A"/>
                <w:sz w:val="20"/>
                <w:szCs w:val="20"/>
              </w:rPr>
              <w:t>Google Docs: excellent for drafting; limited formatting for complex documents</w:t>
            </w:r>
          </w:p>
        </w:tc>
        <w:tc>
          <w:tcPr>
            <w:tcW w:w="31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17533B49">
            <w:pPr>
              <w:spacing w:before="0" w:after="0"/>
            </w:pPr>
            <w:r>
              <w:rPr>
                <w:rFonts w:ascii="Arial" w:hAnsi="Arial" w:eastAsia="Arial" w:cs="Arial"/>
                <w:b w:val="0"/>
                <w:bCs w:val="0"/>
                <w:color w:val="1A1A1A"/>
                <w:sz w:val="20"/>
                <w:szCs w:val="20"/>
              </w:rPr>
              <w:t>Microsoft Word: industry-standard; superior formatting, styles, track changes, mail merge</w:t>
            </w:r>
          </w:p>
        </w:tc>
        <w:tc>
          <w:tcPr>
            <w:tcW w:w="1600" w:type="dxa"/>
            <w:tcBorders>
              <w:top w:val="single" w:color="C5CAD3" w:sz="4" w:space="0"/>
              <w:left w:val="single" w:color="C5CAD3" w:sz="4" w:space="0"/>
              <w:bottom w:val="single" w:color="C5CAD3" w:sz="4" w:space="0"/>
              <w:right w:val="single" w:color="C5CAD3" w:sz="4" w:space="0"/>
            </w:tcBorders>
            <w:shd w:val="clear" w:color="auto" w:fill="E3F2FD"/>
            <w:tcMar>
              <w:top w:w="80" w:type="dxa"/>
              <w:left w:w="120" w:type="dxa"/>
              <w:bottom w:w="80" w:type="dxa"/>
              <w:right w:w="120" w:type="dxa"/>
            </w:tcMar>
          </w:tcPr>
          <w:p w14:paraId="7DBED275">
            <w:pPr>
              <w:jc w:val="center"/>
            </w:pPr>
            <w:r>
              <w:rPr>
                <w:rFonts w:ascii="Arial" w:hAnsi="Arial" w:eastAsia="Arial" w:cs="Arial"/>
                <w:b/>
                <w:bCs/>
                <w:color w:val="106EBE"/>
                <w:sz w:val="19"/>
                <w:szCs w:val="19"/>
              </w:rPr>
              <w:t>Microsoft 365</w:t>
            </w:r>
          </w:p>
        </w:tc>
      </w:tr>
      <w:tr w14:paraId="5D3FE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575E6BB8">
            <w:r>
              <w:rPr>
                <w:rFonts w:ascii="Arial" w:hAnsi="Arial" w:eastAsia="Arial" w:cs="Arial"/>
                <w:b/>
                <w:bCs/>
                <w:color w:val="1A3558"/>
                <w:sz w:val="20"/>
                <w:szCs w:val="20"/>
              </w:rPr>
              <w:t>Spreadsheets</w:t>
            </w:r>
          </w:p>
        </w:tc>
        <w:tc>
          <w:tcPr>
            <w:tcW w:w="31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465500B5">
            <w:pPr>
              <w:spacing w:before="0" w:after="0"/>
            </w:pPr>
            <w:r>
              <w:rPr>
                <w:rFonts w:ascii="Arial" w:hAnsi="Arial" w:eastAsia="Arial" w:cs="Arial"/>
                <w:b w:val="0"/>
                <w:bCs w:val="0"/>
                <w:color w:val="1A1A1A"/>
                <w:sz w:val="20"/>
                <w:szCs w:val="20"/>
              </w:rPr>
              <w:t>Google Sheets: strong for collaborative data entry; limited advanced formulas vs. Excel</w:t>
            </w:r>
          </w:p>
        </w:tc>
        <w:tc>
          <w:tcPr>
            <w:tcW w:w="31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5F32C7EC">
            <w:pPr>
              <w:spacing w:before="0" w:after="0"/>
            </w:pPr>
            <w:r>
              <w:rPr>
                <w:rFonts w:ascii="Arial" w:hAnsi="Arial" w:eastAsia="Arial" w:cs="Arial"/>
                <w:b w:val="0"/>
                <w:bCs w:val="0"/>
                <w:color w:val="1A1A1A"/>
                <w:sz w:val="20"/>
                <w:szCs w:val="20"/>
              </w:rPr>
              <w:t>Microsoft Excel: most powerful spreadsheet tool available; advanced formulas, pivot tables, macros</w:t>
            </w:r>
          </w:p>
        </w:tc>
        <w:tc>
          <w:tcPr>
            <w:tcW w:w="1600" w:type="dxa"/>
            <w:tcBorders>
              <w:top w:val="single" w:color="C5CAD3" w:sz="4" w:space="0"/>
              <w:left w:val="single" w:color="C5CAD3" w:sz="4" w:space="0"/>
              <w:bottom w:val="single" w:color="C5CAD3" w:sz="4" w:space="0"/>
              <w:right w:val="single" w:color="C5CAD3" w:sz="4" w:space="0"/>
            </w:tcBorders>
            <w:shd w:val="clear" w:color="auto" w:fill="E3F2FD"/>
            <w:tcMar>
              <w:top w:w="80" w:type="dxa"/>
              <w:left w:w="120" w:type="dxa"/>
              <w:bottom w:w="80" w:type="dxa"/>
              <w:right w:w="120" w:type="dxa"/>
            </w:tcMar>
          </w:tcPr>
          <w:p w14:paraId="7EFF497F">
            <w:pPr>
              <w:jc w:val="center"/>
            </w:pPr>
            <w:r>
              <w:rPr>
                <w:rFonts w:ascii="Arial" w:hAnsi="Arial" w:eastAsia="Arial" w:cs="Arial"/>
                <w:b/>
                <w:bCs/>
                <w:color w:val="106EBE"/>
                <w:sz w:val="19"/>
                <w:szCs w:val="19"/>
              </w:rPr>
              <w:t>Microsoft 365</w:t>
            </w:r>
          </w:p>
        </w:tc>
      </w:tr>
      <w:tr w14:paraId="58C7A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3305F55B">
            <w:r>
              <w:rPr>
                <w:rFonts w:ascii="Arial" w:hAnsi="Arial" w:eastAsia="Arial" w:cs="Arial"/>
                <w:b/>
                <w:bCs/>
                <w:color w:val="1A3558"/>
                <w:sz w:val="20"/>
                <w:szCs w:val="20"/>
              </w:rPr>
              <w:t>Email &amp; Calendar</w:t>
            </w:r>
          </w:p>
        </w:tc>
        <w:tc>
          <w:tcPr>
            <w:tcW w:w="31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37308F64">
            <w:pPr>
              <w:spacing w:before="0" w:after="0"/>
            </w:pPr>
            <w:r>
              <w:rPr>
                <w:rFonts w:ascii="Arial" w:hAnsi="Arial" w:eastAsia="Arial" w:cs="Arial"/>
                <w:b w:val="0"/>
                <w:bCs w:val="0"/>
                <w:color w:val="1A1A1A"/>
                <w:sz w:val="20"/>
                <w:szCs w:val="20"/>
              </w:rPr>
              <w:t>Gmail + Google Calendar: highly intuitive; excellent search; strong mobile experience</w:t>
            </w:r>
          </w:p>
        </w:tc>
        <w:tc>
          <w:tcPr>
            <w:tcW w:w="31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3EAA48A2">
            <w:pPr>
              <w:spacing w:before="0" w:after="0"/>
            </w:pPr>
            <w:r>
              <w:rPr>
                <w:rFonts w:ascii="Arial" w:hAnsi="Arial" w:eastAsia="Arial" w:cs="Arial"/>
                <w:b w:val="0"/>
                <w:bCs w:val="0"/>
                <w:color w:val="1A1A1A"/>
                <w:sz w:val="20"/>
                <w:szCs w:val="20"/>
              </w:rPr>
              <w:t>Outlook + Exchange: feature-rich; better for complex scheduling; preferred in enterprise</w:t>
            </w:r>
          </w:p>
        </w:tc>
        <w:tc>
          <w:tcPr>
            <w:tcW w:w="16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7A935DA3">
            <w:pPr>
              <w:jc w:val="center"/>
            </w:pPr>
            <w:r>
              <w:rPr>
                <w:rFonts w:ascii="Arial" w:hAnsi="Arial" w:eastAsia="Arial" w:cs="Arial"/>
                <w:b/>
                <w:bCs/>
                <w:color w:val="4A5568"/>
                <w:sz w:val="19"/>
                <w:szCs w:val="19"/>
              </w:rPr>
              <w:t>Tie</w:t>
            </w:r>
          </w:p>
        </w:tc>
      </w:tr>
      <w:tr w14:paraId="2530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19059483">
            <w:r>
              <w:rPr>
                <w:rFonts w:ascii="Arial" w:hAnsi="Arial" w:eastAsia="Arial" w:cs="Arial"/>
                <w:b/>
                <w:bCs/>
                <w:color w:val="1A3558"/>
                <w:sz w:val="20"/>
                <w:szCs w:val="20"/>
              </w:rPr>
              <w:t>Storage</w:t>
            </w:r>
          </w:p>
        </w:tc>
        <w:tc>
          <w:tcPr>
            <w:tcW w:w="31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084BE37E">
            <w:pPr>
              <w:spacing w:before="0" w:after="0"/>
            </w:pPr>
            <w:r>
              <w:rPr>
                <w:rFonts w:ascii="Arial" w:hAnsi="Arial" w:eastAsia="Arial" w:cs="Arial"/>
                <w:b w:val="0"/>
                <w:bCs w:val="0"/>
                <w:color w:val="1A1A1A"/>
                <w:sz w:val="20"/>
                <w:szCs w:val="20"/>
              </w:rPr>
              <w:t>30 GB–5 TB pooled per org; unlimited in Enterprise tier; Google Drive well-organized</w:t>
            </w:r>
          </w:p>
        </w:tc>
        <w:tc>
          <w:tcPr>
            <w:tcW w:w="31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7A33F25F">
            <w:pPr>
              <w:spacing w:before="0" w:after="0"/>
            </w:pPr>
            <w:r>
              <w:rPr>
                <w:rFonts w:ascii="Arial" w:hAnsi="Arial" w:eastAsia="Arial" w:cs="Arial"/>
                <w:b w:val="0"/>
                <w:bCs w:val="0"/>
                <w:color w:val="1A1A1A"/>
                <w:sz w:val="20"/>
                <w:szCs w:val="20"/>
              </w:rPr>
              <w:t>1 TB per user across all plans; SharePoint for team storage; OneDrive for personal files</w:t>
            </w:r>
          </w:p>
        </w:tc>
        <w:tc>
          <w:tcPr>
            <w:tcW w:w="1600" w:type="dxa"/>
            <w:tcBorders>
              <w:top w:val="single" w:color="C5CAD3" w:sz="4" w:space="0"/>
              <w:left w:val="single" w:color="C5CAD3" w:sz="4" w:space="0"/>
              <w:bottom w:val="single" w:color="C5CAD3" w:sz="4" w:space="0"/>
              <w:right w:val="single" w:color="C5CAD3" w:sz="4" w:space="0"/>
            </w:tcBorders>
            <w:shd w:val="clear" w:color="auto" w:fill="E3F2FD"/>
            <w:tcMar>
              <w:top w:w="80" w:type="dxa"/>
              <w:left w:w="120" w:type="dxa"/>
              <w:bottom w:w="80" w:type="dxa"/>
              <w:right w:w="120" w:type="dxa"/>
            </w:tcMar>
          </w:tcPr>
          <w:p w14:paraId="71EF5EEF">
            <w:pPr>
              <w:jc w:val="center"/>
            </w:pPr>
            <w:r>
              <w:rPr>
                <w:rFonts w:ascii="Arial" w:hAnsi="Arial" w:eastAsia="Arial" w:cs="Arial"/>
                <w:b/>
                <w:bCs/>
                <w:color w:val="106EBE"/>
                <w:sz w:val="19"/>
                <w:szCs w:val="19"/>
              </w:rPr>
              <w:t>Microsoft 365</w:t>
            </w:r>
          </w:p>
        </w:tc>
      </w:tr>
      <w:tr w14:paraId="32B34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240244A6">
            <w:r>
              <w:rPr>
                <w:rFonts w:ascii="Arial" w:hAnsi="Arial" w:eastAsia="Arial" w:cs="Arial"/>
                <w:b/>
                <w:bCs/>
                <w:color w:val="1A3558"/>
                <w:sz w:val="20"/>
                <w:szCs w:val="20"/>
              </w:rPr>
              <w:t>Video Calls</w:t>
            </w:r>
          </w:p>
        </w:tc>
        <w:tc>
          <w:tcPr>
            <w:tcW w:w="31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6B094587">
            <w:pPr>
              <w:spacing w:before="0" w:after="0"/>
            </w:pPr>
            <w:r>
              <w:rPr>
                <w:rFonts w:ascii="Arial" w:hAnsi="Arial" w:eastAsia="Arial" w:cs="Arial"/>
                <w:b w:val="0"/>
                <w:bCs w:val="0"/>
                <w:color w:val="1A1A1A"/>
                <w:sz w:val="20"/>
                <w:szCs w:val="20"/>
              </w:rPr>
              <w:t>Google Meet: easy to use; no install needed; up to 500 participants on Business tiers</w:t>
            </w:r>
          </w:p>
        </w:tc>
        <w:tc>
          <w:tcPr>
            <w:tcW w:w="31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37E47400">
            <w:pPr>
              <w:spacing w:before="0" w:after="0"/>
            </w:pPr>
            <w:r>
              <w:rPr>
                <w:rFonts w:ascii="Arial" w:hAnsi="Arial" w:eastAsia="Arial" w:cs="Arial"/>
                <w:b w:val="0"/>
                <w:bCs w:val="0"/>
                <w:color w:val="1A1A1A"/>
                <w:sz w:val="20"/>
                <w:szCs w:val="20"/>
              </w:rPr>
              <w:t>Microsoft Teams: full-featured; chat, calls, file sharing, channels; up to 1,000 participants</w:t>
            </w:r>
          </w:p>
        </w:tc>
        <w:tc>
          <w:tcPr>
            <w:tcW w:w="1600" w:type="dxa"/>
            <w:tcBorders>
              <w:top w:val="single" w:color="C5CAD3" w:sz="4" w:space="0"/>
              <w:left w:val="single" w:color="C5CAD3" w:sz="4" w:space="0"/>
              <w:bottom w:val="single" w:color="C5CAD3" w:sz="4" w:space="0"/>
              <w:right w:val="single" w:color="C5CAD3" w:sz="4" w:space="0"/>
            </w:tcBorders>
            <w:shd w:val="clear" w:color="auto" w:fill="E3F2FD"/>
            <w:tcMar>
              <w:top w:w="80" w:type="dxa"/>
              <w:left w:w="120" w:type="dxa"/>
              <w:bottom w:w="80" w:type="dxa"/>
              <w:right w:w="120" w:type="dxa"/>
            </w:tcMar>
          </w:tcPr>
          <w:p w14:paraId="58C0A4D9">
            <w:pPr>
              <w:jc w:val="center"/>
            </w:pPr>
            <w:r>
              <w:rPr>
                <w:rFonts w:ascii="Arial" w:hAnsi="Arial" w:eastAsia="Arial" w:cs="Arial"/>
                <w:b/>
                <w:bCs/>
                <w:color w:val="106EBE"/>
                <w:sz w:val="19"/>
                <w:szCs w:val="19"/>
              </w:rPr>
              <w:t>Microsoft 365</w:t>
            </w:r>
          </w:p>
        </w:tc>
      </w:tr>
      <w:tr w14:paraId="34A99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4621C152">
            <w:r>
              <w:rPr>
                <w:rFonts w:ascii="Arial" w:hAnsi="Arial" w:eastAsia="Arial" w:cs="Arial"/>
                <w:b/>
                <w:bCs/>
                <w:color w:val="1A3558"/>
                <w:sz w:val="20"/>
                <w:szCs w:val="20"/>
              </w:rPr>
              <w:t>Offline Access</w:t>
            </w:r>
          </w:p>
        </w:tc>
        <w:tc>
          <w:tcPr>
            <w:tcW w:w="31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58A9EBBE">
            <w:pPr>
              <w:spacing w:before="0" w:after="0"/>
            </w:pPr>
            <w:r>
              <w:rPr>
                <w:rFonts w:ascii="Arial" w:hAnsi="Arial" w:eastAsia="Arial" w:cs="Arial"/>
                <w:b w:val="0"/>
                <w:bCs w:val="0"/>
                <w:color w:val="1A1A1A"/>
                <w:sz w:val="20"/>
                <w:szCs w:val="20"/>
              </w:rPr>
              <w:t>Limited; requires Chrome extension; restricted functionality without internet</w:t>
            </w:r>
          </w:p>
        </w:tc>
        <w:tc>
          <w:tcPr>
            <w:tcW w:w="31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572C965F">
            <w:pPr>
              <w:spacing w:before="0" w:after="0"/>
            </w:pPr>
            <w:r>
              <w:rPr>
                <w:rFonts w:ascii="Arial" w:hAnsi="Arial" w:eastAsia="Arial" w:cs="Arial"/>
                <w:b w:val="0"/>
                <w:bCs w:val="0"/>
                <w:color w:val="1A1A1A"/>
                <w:sz w:val="20"/>
                <w:szCs w:val="20"/>
              </w:rPr>
              <w:t>Full offline access for all desktop apps; no connectivity required for Word, Excel, PowerPoint</w:t>
            </w:r>
          </w:p>
        </w:tc>
        <w:tc>
          <w:tcPr>
            <w:tcW w:w="1600" w:type="dxa"/>
            <w:tcBorders>
              <w:top w:val="single" w:color="C5CAD3" w:sz="4" w:space="0"/>
              <w:left w:val="single" w:color="C5CAD3" w:sz="4" w:space="0"/>
              <w:bottom w:val="single" w:color="C5CAD3" w:sz="4" w:space="0"/>
              <w:right w:val="single" w:color="C5CAD3" w:sz="4" w:space="0"/>
            </w:tcBorders>
            <w:shd w:val="clear" w:color="auto" w:fill="E3F2FD"/>
            <w:tcMar>
              <w:top w:w="80" w:type="dxa"/>
              <w:left w:w="120" w:type="dxa"/>
              <w:bottom w:w="80" w:type="dxa"/>
              <w:right w:w="120" w:type="dxa"/>
            </w:tcMar>
          </w:tcPr>
          <w:p w14:paraId="56370359">
            <w:pPr>
              <w:jc w:val="center"/>
            </w:pPr>
            <w:r>
              <w:rPr>
                <w:rFonts w:ascii="Arial" w:hAnsi="Arial" w:eastAsia="Arial" w:cs="Arial"/>
                <w:b/>
                <w:bCs/>
                <w:color w:val="106EBE"/>
                <w:sz w:val="19"/>
                <w:szCs w:val="19"/>
              </w:rPr>
              <w:t>Microsoft 365</w:t>
            </w:r>
          </w:p>
        </w:tc>
      </w:tr>
      <w:tr w14:paraId="6376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156A61A3">
            <w:r>
              <w:rPr>
                <w:rFonts w:ascii="Arial" w:hAnsi="Arial" w:eastAsia="Arial" w:cs="Arial"/>
                <w:b/>
                <w:bCs/>
                <w:color w:val="1A3558"/>
                <w:sz w:val="20"/>
                <w:szCs w:val="20"/>
              </w:rPr>
              <w:t>Security &amp; Admin</w:t>
            </w:r>
          </w:p>
        </w:tc>
        <w:tc>
          <w:tcPr>
            <w:tcW w:w="31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416C2FEB">
            <w:pPr>
              <w:spacing w:before="0" w:after="0"/>
            </w:pPr>
            <w:r>
              <w:rPr>
                <w:rFonts w:ascii="Arial" w:hAnsi="Arial" w:eastAsia="Arial" w:cs="Arial"/>
                <w:b w:val="0"/>
                <w:bCs w:val="0"/>
                <w:color w:val="1A1A1A"/>
                <w:sz w:val="20"/>
                <w:szCs w:val="20"/>
              </w:rPr>
              <w:t>Strong; Google Admin Console; SOC 2/ISO 27001 certified; GDPR compliant</w:t>
            </w:r>
          </w:p>
        </w:tc>
        <w:tc>
          <w:tcPr>
            <w:tcW w:w="31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7B62FB6F">
            <w:pPr>
              <w:spacing w:before="0" w:after="0"/>
            </w:pPr>
            <w:r>
              <w:rPr>
                <w:rFonts w:ascii="Arial" w:hAnsi="Arial" w:eastAsia="Arial" w:cs="Arial"/>
                <w:b w:val="0"/>
                <w:bCs w:val="0"/>
                <w:color w:val="1A1A1A"/>
                <w:sz w:val="20"/>
                <w:szCs w:val="20"/>
              </w:rPr>
              <w:t>Advanced; Azure AD; multi-factor auth; Intune device management; higher enterprise compliance</w:t>
            </w:r>
          </w:p>
        </w:tc>
        <w:tc>
          <w:tcPr>
            <w:tcW w:w="1600" w:type="dxa"/>
            <w:tcBorders>
              <w:top w:val="single" w:color="C5CAD3" w:sz="4" w:space="0"/>
              <w:left w:val="single" w:color="C5CAD3" w:sz="4" w:space="0"/>
              <w:bottom w:val="single" w:color="C5CAD3" w:sz="4" w:space="0"/>
              <w:right w:val="single" w:color="C5CAD3" w:sz="4" w:space="0"/>
            </w:tcBorders>
            <w:shd w:val="clear" w:color="auto" w:fill="E3F2FD"/>
            <w:tcMar>
              <w:top w:w="80" w:type="dxa"/>
              <w:left w:w="120" w:type="dxa"/>
              <w:bottom w:w="80" w:type="dxa"/>
              <w:right w:w="120" w:type="dxa"/>
            </w:tcMar>
          </w:tcPr>
          <w:p w14:paraId="17840C8C">
            <w:pPr>
              <w:jc w:val="center"/>
            </w:pPr>
            <w:r>
              <w:rPr>
                <w:rFonts w:ascii="Arial" w:hAnsi="Arial" w:eastAsia="Arial" w:cs="Arial"/>
                <w:b/>
                <w:bCs/>
                <w:color w:val="106EBE"/>
                <w:sz w:val="19"/>
                <w:szCs w:val="19"/>
              </w:rPr>
              <w:t>Microsoft 365</w:t>
            </w:r>
          </w:p>
        </w:tc>
      </w:tr>
      <w:tr w14:paraId="72E2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6B2E91BB">
            <w:r>
              <w:rPr>
                <w:rFonts w:ascii="Arial" w:hAnsi="Arial" w:eastAsia="Arial" w:cs="Arial"/>
                <w:b/>
                <w:bCs/>
                <w:color w:val="1A3558"/>
                <w:sz w:val="20"/>
                <w:szCs w:val="20"/>
              </w:rPr>
              <w:t>Ease of Use</w:t>
            </w:r>
          </w:p>
        </w:tc>
        <w:tc>
          <w:tcPr>
            <w:tcW w:w="31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03DE15D9">
            <w:pPr>
              <w:spacing w:before="0" w:after="0"/>
            </w:pPr>
            <w:r>
              <w:rPr>
                <w:rFonts w:ascii="Arial" w:hAnsi="Arial" w:eastAsia="Arial" w:cs="Arial"/>
                <w:b w:val="0"/>
                <w:bCs w:val="0"/>
                <w:color w:val="1A1A1A"/>
                <w:sz w:val="20"/>
                <w:szCs w:val="20"/>
              </w:rPr>
              <w:t>Very intuitive; minimal training needed; browser-based; fast onboarding</w:t>
            </w:r>
          </w:p>
        </w:tc>
        <w:tc>
          <w:tcPr>
            <w:tcW w:w="31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790AB036">
            <w:pPr>
              <w:spacing w:before="0" w:after="0"/>
            </w:pPr>
            <w:r>
              <w:rPr>
                <w:rFonts w:ascii="Arial" w:hAnsi="Arial" w:eastAsia="Arial" w:cs="Arial"/>
                <w:b w:val="0"/>
                <w:bCs w:val="0"/>
                <w:color w:val="1A1A1A"/>
                <w:sz w:val="20"/>
                <w:szCs w:val="20"/>
              </w:rPr>
              <w:t>Slight learning curve for new users; rich feature set can overwhelm beginners</w:t>
            </w:r>
          </w:p>
        </w:tc>
        <w:tc>
          <w:tcPr>
            <w:tcW w:w="16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35250524">
            <w:pPr>
              <w:jc w:val="center"/>
            </w:pPr>
            <w:r>
              <w:rPr>
                <w:rFonts w:ascii="Arial" w:hAnsi="Arial" w:eastAsia="Arial" w:cs="Arial"/>
                <w:b/>
                <w:bCs/>
                <w:color w:val="4A5568"/>
                <w:sz w:val="19"/>
                <w:szCs w:val="19"/>
              </w:rPr>
              <w:t>Google Workspace</w:t>
            </w:r>
          </w:p>
        </w:tc>
      </w:tr>
      <w:tr w14:paraId="5799C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2F500CA7">
            <w:r>
              <w:rPr>
                <w:rFonts w:ascii="Arial" w:hAnsi="Arial" w:eastAsia="Arial" w:cs="Arial"/>
                <w:b/>
                <w:bCs/>
                <w:color w:val="1A3558"/>
                <w:sz w:val="20"/>
                <w:szCs w:val="20"/>
              </w:rPr>
              <w:t>IT Management</w:t>
            </w:r>
          </w:p>
        </w:tc>
        <w:tc>
          <w:tcPr>
            <w:tcW w:w="31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7B84678F">
            <w:pPr>
              <w:spacing w:before="0" w:after="0"/>
            </w:pPr>
            <w:r>
              <w:rPr>
                <w:rFonts w:ascii="Arial" w:hAnsi="Arial" w:eastAsia="Arial" w:cs="Arial"/>
                <w:b w:val="0"/>
                <w:bCs w:val="0"/>
                <w:color w:val="1A1A1A"/>
                <w:sz w:val="20"/>
                <w:szCs w:val="20"/>
              </w:rPr>
              <w:t>Minimal IT overhead; fully managed by Google; easy admin controls</w:t>
            </w:r>
          </w:p>
        </w:tc>
        <w:tc>
          <w:tcPr>
            <w:tcW w:w="31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5CAAA04D">
            <w:pPr>
              <w:spacing w:before="0" w:after="0"/>
            </w:pPr>
            <w:r>
              <w:rPr>
                <w:rFonts w:ascii="Arial" w:hAnsi="Arial" w:eastAsia="Arial" w:cs="Arial"/>
                <w:b w:val="0"/>
                <w:bCs w:val="0"/>
                <w:color w:val="1A1A1A"/>
                <w:sz w:val="20"/>
                <w:szCs w:val="20"/>
              </w:rPr>
              <w:t>Requires more IT setup; greater control and customization; more demanding for small IT teams</w:t>
            </w:r>
          </w:p>
        </w:tc>
        <w:tc>
          <w:tcPr>
            <w:tcW w:w="16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0ACF7831">
            <w:pPr>
              <w:jc w:val="center"/>
            </w:pPr>
            <w:r>
              <w:rPr>
                <w:rFonts w:ascii="Arial" w:hAnsi="Arial" w:eastAsia="Arial" w:cs="Arial"/>
                <w:b/>
                <w:bCs/>
                <w:color w:val="4A5568"/>
                <w:sz w:val="19"/>
                <w:szCs w:val="19"/>
              </w:rPr>
              <w:t>Google Workspace</w:t>
            </w:r>
          </w:p>
        </w:tc>
      </w:tr>
      <w:tr w14:paraId="2BE3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0C013337">
            <w:r>
              <w:rPr>
                <w:rFonts w:ascii="Arial" w:hAnsi="Arial" w:eastAsia="Arial" w:cs="Arial"/>
                <w:b/>
                <w:bCs/>
                <w:color w:val="1A3558"/>
                <w:sz w:val="20"/>
                <w:szCs w:val="20"/>
              </w:rPr>
              <w:t>File Compatibility</w:t>
            </w:r>
          </w:p>
        </w:tc>
        <w:tc>
          <w:tcPr>
            <w:tcW w:w="31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3F90377C">
            <w:pPr>
              <w:spacing w:before="0" w:after="0"/>
            </w:pPr>
            <w:r>
              <w:rPr>
                <w:rFonts w:ascii="Arial" w:hAnsi="Arial" w:eastAsia="Arial" w:cs="Arial"/>
                <w:b w:val="0"/>
                <w:bCs w:val="0"/>
                <w:color w:val="1A1A1A"/>
                <w:sz w:val="20"/>
                <w:szCs w:val="20"/>
              </w:rPr>
              <w:t>Native Google formats; good .docx/.xlsx import but some formatting loss on complex files</w:t>
            </w:r>
          </w:p>
        </w:tc>
        <w:tc>
          <w:tcPr>
            <w:tcW w:w="31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58FD3AC8">
            <w:pPr>
              <w:spacing w:before="0" w:after="0"/>
            </w:pPr>
            <w:r>
              <w:rPr>
                <w:rFonts w:ascii="Arial" w:hAnsi="Arial" w:eastAsia="Arial" w:cs="Arial"/>
                <w:b w:val="0"/>
                <w:bCs w:val="0"/>
                <w:color w:val="1A1A1A"/>
                <w:sz w:val="20"/>
                <w:szCs w:val="20"/>
              </w:rPr>
              <w:t>Native .docx/.xlsx/.pptx; industry-standard formats; zero compatibility issues with clients</w:t>
            </w:r>
          </w:p>
        </w:tc>
        <w:tc>
          <w:tcPr>
            <w:tcW w:w="1600" w:type="dxa"/>
            <w:tcBorders>
              <w:top w:val="single" w:color="C5CAD3" w:sz="4" w:space="0"/>
              <w:left w:val="single" w:color="C5CAD3" w:sz="4" w:space="0"/>
              <w:bottom w:val="single" w:color="C5CAD3" w:sz="4" w:space="0"/>
              <w:right w:val="single" w:color="C5CAD3" w:sz="4" w:space="0"/>
            </w:tcBorders>
            <w:shd w:val="clear" w:color="auto" w:fill="E3F2FD"/>
            <w:tcMar>
              <w:top w:w="80" w:type="dxa"/>
              <w:left w:w="120" w:type="dxa"/>
              <w:bottom w:w="80" w:type="dxa"/>
              <w:right w:w="120" w:type="dxa"/>
            </w:tcMar>
          </w:tcPr>
          <w:p w14:paraId="3C43BFC3">
            <w:pPr>
              <w:jc w:val="center"/>
            </w:pPr>
            <w:r>
              <w:rPr>
                <w:rFonts w:ascii="Arial" w:hAnsi="Arial" w:eastAsia="Arial" w:cs="Arial"/>
                <w:b/>
                <w:bCs/>
                <w:color w:val="106EBE"/>
                <w:sz w:val="19"/>
                <w:szCs w:val="19"/>
              </w:rPr>
              <w:t>Microsoft 365</w:t>
            </w:r>
          </w:p>
        </w:tc>
      </w:tr>
      <w:tr w14:paraId="7D39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2414A841">
            <w:r>
              <w:rPr>
                <w:rFonts w:ascii="Arial" w:hAnsi="Arial" w:eastAsia="Arial" w:cs="Arial"/>
                <w:b/>
                <w:bCs/>
                <w:color w:val="1A3558"/>
                <w:sz w:val="20"/>
                <w:szCs w:val="20"/>
              </w:rPr>
              <w:t>Pricing (Entry)</w:t>
            </w:r>
          </w:p>
        </w:tc>
        <w:tc>
          <w:tcPr>
            <w:tcW w:w="31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17328887">
            <w:pPr>
              <w:spacing w:before="0" w:after="0"/>
            </w:pPr>
            <w:r>
              <w:rPr>
                <w:rFonts w:ascii="Arial" w:hAnsi="Arial" w:eastAsia="Arial" w:cs="Arial"/>
                <w:b w:val="0"/>
                <w:bCs w:val="0"/>
                <w:color w:val="1A1A1A"/>
                <w:sz w:val="20"/>
                <w:szCs w:val="20"/>
              </w:rPr>
              <w:t>₵5.99 USD/user/mo (Business Starter) — includes collaboration apps + 30 GB</w:t>
            </w:r>
          </w:p>
        </w:tc>
        <w:tc>
          <w:tcPr>
            <w:tcW w:w="31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07860094">
            <w:pPr>
              <w:spacing w:before="0" w:after="0"/>
            </w:pPr>
            <w:r>
              <w:rPr>
                <w:rFonts w:ascii="Arial" w:hAnsi="Arial" w:eastAsia="Arial" w:cs="Arial"/>
                <w:b w:val="0"/>
                <w:bCs w:val="0"/>
                <w:color w:val="1A1A1A"/>
                <w:sz w:val="20"/>
                <w:szCs w:val="20"/>
              </w:rPr>
              <w:t>₵6.00 USD/user/mo (Business Basic) — includes Teams + 1 TB OneDrive; no desktop apps</w:t>
            </w:r>
          </w:p>
        </w:tc>
        <w:tc>
          <w:tcPr>
            <w:tcW w:w="16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183B0006">
            <w:pPr>
              <w:jc w:val="center"/>
            </w:pPr>
            <w:r>
              <w:rPr>
                <w:rFonts w:ascii="Arial" w:hAnsi="Arial" w:eastAsia="Arial" w:cs="Arial"/>
                <w:b/>
                <w:bCs/>
                <w:color w:val="4A5568"/>
                <w:sz w:val="19"/>
                <w:szCs w:val="19"/>
              </w:rPr>
              <w:t>Tie</w:t>
            </w:r>
          </w:p>
        </w:tc>
      </w:tr>
    </w:tbl>
    <w:p w14:paraId="0348BA5D">
      <w:pPr>
        <w:spacing w:before="60" w:after="120"/>
        <w:jc w:val="center"/>
      </w:pPr>
      <w:r>
        <w:rPr>
          <w:rFonts w:ascii="Arial" w:hAnsi="Arial" w:eastAsia="Arial" w:cs="Arial"/>
          <w:b w:val="0"/>
          <w:bCs w:val="0"/>
          <w:color w:val="4A5568"/>
          <w:sz w:val="18"/>
          <w:szCs w:val="18"/>
        </w:rPr>
        <w:t>Table 1 — Feature Comparison Matrix: Google Workspace vs. Microsoft 365 (April 2025)</w:t>
      </w:r>
    </w:p>
    <w:p w14:paraId="7F75452E">
      <w:pPr>
        <w:pStyle w:val="2"/>
      </w:pPr>
      <w:r>
        <w:rPr>
          <w:rFonts w:ascii="Arial" w:hAnsi="Arial" w:eastAsia="Arial" w:cs="Arial"/>
          <w:b/>
          <w:bCs/>
          <w:color w:val="1A3558"/>
          <w:sz w:val="30"/>
          <w:szCs w:val="30"/>
        </w:rPr>
        <w:t>5.  Area-by-Area Analysis</w:t>
      </w:r>
    </w:p>
    <w:p w14:paraId="09B3F1ED">
      <w:pPr>
        <w:pStyle w:val="3"/>
      </w:pPr>
      <w:r>
        <w:rPr>
          <w:rFonts w:ascii="Arial" w:hAnsi="Arial" w:eastAsia="Arial" w:cs="Arial"/>
          <w:b/>
          <w:bCs/>
          <w:color w:val="2563A8"/>
          <w:sz w:val="24"/>
          <w:szCs w:val="24"/>
        </w:rPr>
        <w:t>5.1  Collaboration &amp; Real-Time Editing</w:t>
      </w:r>
    </w:p>
    <w:p w14:paraId="77482D15">
      <w:pPr>
        <w:spacing w:before="0" w:after="160" w:line="280" w:lineRule="auto"/>
      </w:pPr>
      <w:r>
        <w:rPr>
          <w:rFonts w:ascii="Arial" w:hAnsi="Arial" w:eastAsia="Arial" w:cs="Arial"/>
          <w:b w:val="0"/>
          <w:bCs w:val="0"/>
          <w:color w:val="1A1A1A"/>
          <w:sz w:val="22"/>
          <w:szCs w:val="22"/>
        </w:rPr>
        <w:t>Google Workspace was architected from the ground up for real-time, browser-based collaboration. Google Docs, Sheets, and Slides support simultaneous editing by multiple users with no perceptible lag, automatic version history, and instant sharing through a single URL. This makes it particularly effective for teams that need to co-author documents quickly without managing file versions.</w:t>
      </w:r>
    </w:p>
    <w:p w14:paraId="4467ED8E">
      <w:pPr>
        <w:spacing w:before="0" w:after="160" w:line="280" w:lineRule="auto"/>
      </w:pPr>
      <w:r>
        <w:rPr>
          <w:rFonts w:ascii="Arial" w:hAnsi="Arial" w:eastAsia="Arial" w:cs="Arial"/>
          <w:b w:val="0"/>
          <w:bCs w:val="0"/>
          <w:color w:val="1A1A1A"/>
          <w:sz w:val="22"/>
          <w:szCs w:val="22"/>
        </w:rPr>
        <w:t>Microsoft 365 has significantly improved its collaboration capabilities through AutoSave and real-time co-authoring in Word, Excel, and PowerPoint via OneDrive and SharePoint. However, the experience is smoothest when all users work within the browser-based (web) versions of Office apps. Desktop application users occasionally experience brief sync delays. That said, Microsoft Teams stands out as a superior integrated communication and collaboration hub, offering channels, persistent chat, task management, and meeting scheduling in one environment.</w:t>
      </w:r>
    </w:p>
    <w:p w14:paraId="0F3DBC1E">
      <w:pPr>
        <w:pStyle w:val="3"/>
      </w:pPr>
      <w:r>
        <w:rPr>
          <w:rFonts w:ascii="Arial" w:hAnsi="Arial" w:eastAsia="Arial" w:cs="Arial"/>
          <w:b/>
          <w:bCs/>
          <w:color w:val="2563A8"/>
          <w:sz w:val="24"/>
          <w:szCs w:val="24"/>
        </w:rPr>
        <w:t>5.2  Document &amp; Records Management</w:t>
      </w:r>
    </w:p>
    <w:p w14:paraId="06B8516D">
      <w:pPr>
        <w:spacing w:before="0" w:after="160" w:line="280" w:lineRule="auto"/>
      </w:pPr>
      <w:r>
        <w:rPr>
          <w:rFonts w:ascii="Arial" w:hAnsi="Arial" w:eastAsia="Arial" w:cs="Arial"/>
          <w:b w:val="0"/>
          <w:bCs w:val="0"/>
          <w:color w:val="1A1A1A"/>
          <w:sz w:val="22"/>
          <w:szCs w:val="22"/>
        </w:rPr>
        <w:t>For roles that involve heavy document creation — memos, formal reports, and correspondence — Microsoft Word remains the undisputed industry standard. Word offers far more sophisticated formatting capabilities than Google Docs: advanced styles and themes, precise table formatting, mail merge, complex header and footer configurations, tracked changes with detailed revision history, and cross-referencing tools. For organizations that produce client-facing documents or formally structured reports, the formatting fidelity of Word documents is a significant advantage.</w:t>
      </w:r>
    </w:p>
    <w:p w14:paraId="16CFE169">
      <w:pPr>
        <w:spacing w:before="0" w:after="160" w:line="280" w:lineRule="auto"/>
      </w:pPr>
      <w:r>
        <w:rPr>
          <w:rFonts w:ascii="Arial" w:hAnsi="Arial" w:eastAsia="Arial" w:cs="Arial"/>
          <w:b w:val="0"/>
          <w:bCs w:val="0"/>
          <w:color w:val="1A1A1A"/>
          <w:sz w:val="22"/>
          <w:szCs w:val="22"/>
        </w:rPr>
        <w:t>Google Docs is an excellent tool for day-to-day drafting and collaborative writing but falls short when documents require complex formatting or must be printed in a specific layout. Files saved as .docx from Google Docs often experience minor formatting shifts when opened in Microsoft Word, which can be problematic for organizations that share documents with external parties.</w:t>
      </w:r>
    </w:p>
    <w:p w14:paraId="10851FCA">
      <w:pPr>
        <w:pStyle w:val="3"/>
      </w:pPr>
      <w:r>
        <w:rPr>
          <w:rFonts w:ascii="Arial" w:hAnsi="Arial" w:eastAsia="Arial" w:cs="Arial"/>
          <w:b/>
          <w:bCs/>
          <w:color w:val="2563A8"/>
          <w:sz w:val="24"/>
          <w:szCs w:val="24"/>
        </w:rPr>
        <w:t>5.3  Data Entry &amp; Spreadsheet Management</w:t>
      </w:r>
    </w:p>
    <w:p w14:paraId="6A6AD145">
      <w:pPr>
        <w:spacing w:before="0" w:after="160" w:line="280" w:lineRule="auto"/>
      </w:pPr>
      <w:r>
        <w:rPr>
          <w:rFonts w:ascii="Arial" w:hAnsi="Arial" w:eastAsia="Arial" w:cs="Arial"/>
          <w:b w:val="0"/>
          <w:bCs w:val="0"/>
          <w:color w:val="1A1A1A"/>
          <w:sz w:val="22"/>
          <w:szCs w:val="22"/>
        </w:rPr>
        <w:t>For data encoding and records management work similar to that performed at the Philippine Statistics Authority, spreadsheet functionality is a critical consideration. Microsoft Excel is the gold standard for spreadsheet work, offering:</w:t>
      </w:r>
    </w:p>
    <w:p w14:paraId="0AD0DBC9">
      <w:pPr>
        <w:pStyle w:val="14"/>
        <w:numPr>
          <w:ilvl w:val="0"/>
          <w:numId w:val="1"/>
        </w:numPr>
        <w:spacing w:before="40" w:after="40"/>
      </w:pPr>
      <w:r>
        <w:rPr>
          <w:rFonts w:ascii="Arial" w:hAnsi="Arial" w:eastAsia="Arial" w:cs="Arial"/>
          <w:b w:val="0"/>
          <w:bCs w:val="0"/>
          <w:color w:val="1A1A1A"/>
          <w:sz w:val="22"/>
          <w:szCs w:val="22"/>
        </w:rPr>
        <w:t>Advanced formula library with hundreds of statistical, financial, and lookup functions</w:t>
      </w:r>
    </w:p>
    <w:p w14:paraId="03408681">
      <w:pPr>
        <w:pStyle w:val="14"/>
        <w:numPr>
          <w:ilvl w:val="0"/>
          <w:numId w:val="1"/>
        </w:numPr>
        <w:spacing w:before="40" w:after="40"/>
      </w:pPr>
      <w:r>
        <w:rPr>
          <w:rFonts w:ascii="Arial" w:hAnsi="Arial" w:eastAsia="Arial" w:cs="Arial"/>
          <w:b w:val="0"/>
          <w:bCs w:val="0"/>
          <w:color w:val="1A1A1A"/>
          <w:sz w:val="22"/>
          <w:szCs w:val="22"/>
        </w:rPr>
        <w:t>Pivot tables and Power Query for data analysis and transformation</w:t>
      </w:r>
    </w:p>
    <w:p w14:paraId="3F521CA2">
      <w:pPr>
        <w:pStyle w:val="14"/>
        <w:numPr>
          <w:ilvl w:val="0"/>
          <w:numId w:val="1"/>
        </w:numPr>
        <w:spacing w:before="40" w:after="40"/>
      </w:pPr>
      <w:r>
        <w:rPr>
          <w:rFonts w:ascii="Arial" w:hAnsi="Arial" w:eastAsia="Arial" w:cs="Arial"/>
          <w:b w:val="0"/>
          <w:bCs w:val="0"/>
          <w:color w:val="1A1A1A"/>
          <w:sz w:val="22"/>
          <w:szCs w:val="22"/>
        </w:rPr>
        <w:t>VBA macros for automating repetitive encoding tasks</w:t>
      </w:r>
    </w:p>
    <w:p w14:paraId="70199702">
      <w:pPr>
        <w:pStyle w:val="14"/>
        <w:numPr>
          <w:ilvl w:val="0"/>
          <w:numId w:val="1"/>
        </w:numPr>
        <w:spacing w:before="40" w:after="40"/>
      </w:pPr>
      <w:r>
        <w:rPr>
          <w:rFonts w:ascii="Arial" w:hAnsi="Arial" w:eastAsia="Arial" w:cs="Arial"/>
          <w:b w:val="0"/>
          <w:bCs w:val="0"/>
          <w:color w:val="1A1A1A"/>
          <w:sz w:val="22"/>
          <w:szCs w:val="22"/>
        </w:rPr>
        <w:t>Superior data validation, conditional formatting, and form controls</w:t>
      </w:r>
    </w:p>
    <w:p w14:paraId="1248FC00">
      <w:pPr>
        <w:pStyle w:val="14"/>
        <w:numPr>
          <w:ilvl w:val="0"/>
          <w:numId w:val="1"/>
        </w:numPr>
        <w:spacing w:before="40" w:after="40"/>
      </w:pPr>
      <w:r>
        <w:rPr>
          <w:rFonts w:ascii="Arial" w:hAnsi="Arial" w:eastAsia="Arial" w:cs="Arial"/>
          <w:b w:val="0"/>
          <w:bCs w:val="0"/>
          <w:color w:val="1A1A1A"/>
          <w:sz w:val="22"/>
          <w:szCs w:val="22"/>
        </w:rPr>
        <w:t>XLOOKUP, dynamic arrays, and Power BI integration for reporting</w:t>
      </w:r>
    </w:p>
    <w:p w14:paraId="77BD95BF">
      <w:pPr>
        <w:spacing w:before="40" w:after="40"/>
      </w:pPr>
    </w:p>
    <w:p w14:paraId="075C4376">
      <w:pPr>
        <w:spacing w:before="0" w:after="160" w:line="280" w:lineRule="auto"/>
      </w:pPr>
      <w:r>
        <w:rPr>
          <w:rFonts w:ascii="Arial" w:hAnsi="Arial" w:eastAsia="Arial" w:cs="Arial"/>
          <w:b w:val="0"/>
          <w:bCs w:val="0"/>
          <w:color w:val="1A1A1A"/>
          <w:sz w:val="22"/>
          <w:szCs w:val="22"/>
        </w:rPr>
        <w:t>Google Sheets provides a strong collaborative spreadsheet experience and is particularly effective when multiple data encoders must work on the same file simultaneously — a scenario where Excel’s desktop-first architecture can create version conflicts. For high-volume, multi-user data entry projects, Google Sheets’ real-time sync is a practical advantage.</w:t>
      </w:r>
    </w:p>
    <w:p w14:paraId="4D36CC8E">
      <w:pPr>
        <w:pStyle w:val="3"/>
      </w:pPr>
      <w:r>
        <w:rPr>
          <w:rFonts w:ascii="Arial" w:hAnsi="Arial" w:eastAsia="Arial" w:cs="Arial"/>
          <w:b/>
          <w:bCs/>
          <w:color w:val="2563A8"/>
          <w:sz w:val="24"/>
          <w:szCs w:val="24"/>
        </w:rPr>
        <w:t>5.4  Security &amp; Compliance</w:t>
      </w:r>
    </w:p>
    <w:p w14:paraId="1450F2F8">
      <w:pPr>
        <w:spacing w:before="0" w:after="160" w:line="280" w:lineRule="auto"/>
      </w:pPr>
      <w:r>
        <w:rPr>
          <w:rFonts w:ascii="Arial" w:hAnsi="Arial" w:eastAsia="Arial" w:cs="Arial"/>
          <w:b w:val="0"/>
          <w:bCs w:val="0"/>
          <w:color w:val="1A1A1A"/>
          <w:sz w:val="22"/>
          <w:szCs w:val="22"/>
        </w:rPr>
        <w:t>Both platforms hold strong security certifications (ISO 27001, SOC 2, GDPR compliance). Microsoft 365 generally receives higher marks in enterprise security assessments due to its integration with Azure Active Directory, Microsoft Defender, and Intune for mobile device management. Microsoft 365 Business Premium includes advanced threat protection, data loss prevention (DLP) policies, and conditional access — features that are essential for organizations handling sensitive government data or personally identifiable information (PII). Google Workspace Enterprise also offers robust DLP and audit controls but is typically considered less mature in deeply regulated industries.</w:t>
      </w:r>
    </w:p>
    <w:p w14:paraId="5560B317">
      <w:pPr>
        <w:pStyle w:val="3"/>
      </w:pPr>
      <w:r>
        <w:rPr>
          <w:rFonts w:ascii="Arial" w:hAnsi="Arial" w:eastAsia="Arial" w:cs="Arial"/>
          <w:b/>
          <w:bCs/>
          <w:color w:val="2563A8"/>
          <w:sz w:val="24"/>
          <w:szCs w:val="24"/>
        </w:rPr>
        <w:t>5.5  Cost Considerations</w:t>
      </w:r>
    </w:p>
    <w:p w14:paraId="62CB3554">
      <w:pPr>
        <w:spacing w:before="0" w:after="160" w:line="280" w:lineRule="auto"/>
      </w:pPr>
      <w:r>
        <w:rPr>
          <w:rFonts w:ascii="Arial" w:hAnsi="Arial" w:eastAsia="Arial" w:cs="Arial"/>
          <w:b w:val="0"/>
          <w:bCs w:val="0"/>
          <w:color w:val="1A1A1A"/>
          <w:sz w:val="22"/>
          <w:szCs w:val="22"/>
        </w:rPr>
        <w:t>At entry-level pricing, both platforms are nearly identical in cost. The meaningful pricing distinction emerges at mid-tier and enterprise levels when desktop application access is required. Microsoft 365 Business Standard (―12.50 USD/user/mo) includes full desktop installations of Word, Excel, PowerPoint, and Outlook — a significant value for organizations transitioning from traditional desktop Office licenses. Google Workspace does not offer downloadable desktop apps; all work is done in the browser, which may require additional training for users accustomed to traditional Office software.</w:t>
      </w:r>
    </w:p>
    <w:p w14:paraId="087E10F9">
      <w:pPr>
        <w:pStyle w:val="2"/>
      </w:pPr>
      <w:r>
        <w:rPr>
          <w:rFonts w:ascii="Arial" w:hAnsi="Arial" w:eastAsia="Arial" w:cs="Arial"/>
          <w:b/>
          <w:bCs/>
          <w:color w:val="1A3558"/>
          <w:sz w:val="30"/>
          <w:szCs w:val="30"/>
        </w:rPr>
        <w:t>6.  Overall Scorecard</w:t>
      </w:r>
    </w:p>
    <w:p w14:paraId="0931E03C">
      <w:pPr>
        <w:spacing w:before="0" w:after="160" w:line="280" w:lineRule="auto"/>
      </w:pPr>
      <w:r>
        <w:rPr>
          <w:rFonts w:ascii="Arial" w:hAnsi="Arial" w:eastAsia="Arial" w:cs="Arial"/>
          <w:b w:val="0"/>
          <w:bCs w:val="0"/>
          <w:color w:val="1A1A1A"/>
          <w:sz w:val="22"/>
          <w:szCs w:val="22"/>
        </w:rPr>
        <w:t>The following scorecard summarizes the relative performance of each platform across six weighted criteria most relevant to administrative and data management roles. Scores are on a 10-point scale.</w:t>
      </w:r>
    </w:p>
    <w:p w14:paraId="5B5D0119">
      <w:pPr>
        <w:spacing w:before="60" w:after="4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60"/>
        <w:gridCol w:w="1560"/>
        <w:gridCol w:w="3800"/>
      </w:tblGrid>
      <w:tr w14:paraId="2A521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A3558" w:sz="4" w:space="0"/>
              <w:left w:val="single" w:color="1A3558" w:sz="4" w:space="0"/>
              <w:bottom w:val="single" w:color="1A3558" w:sz="4" w:space="0"/>
              <w:right w:val="single" w:color="1A3558" w:sz="4" w:space="0"/>
            </w:tcBorders>
            <w:shd w:val="clear" w:color="auto" w:fill="1A3558"/>
            <w:tcMar>
              <w:top w:w="80" w:type="dxa"/>
              <w:left w:w="120" w:type="dxa"/>
              <w:bottom w:w="80" w:type="dxa"/>
              <w:right w:w="120" w:type="dxa"/>
            </w:tcMar>
          </w:tcPr>
          <w:p w14:paraId="06AAC681">
            <w:r>
              <w:rPr>
                <w:rFonts w:ascii="Arial" w:hAnsi="Arial" w:eastAsia="Arial" w:cs="Arial"/>
                <w:b/>
                <w:bCs/>
                <w:color w:val="FFFFFF"/>
                <w:sz w:val="20"/>
                <w:szCs w:val="20"/>
              </w:rPr>
              <w:t>Criteria</w:t>
            </w:r>
          </w:p>
        </w:tc>
        <w:tc>
          <w:tcPr>
            <w:tcW w:w="1560" w:type="dxa"/>
            <w:tcBorders>
              <w:top w:val="single" w:color="1A3558" w:sz="4" w:space="0"/>
              <w:left w:val="single" w:color="1A3558" w:sz="4" w:space="0"/>
              <w:bottom w:val="single" w:color="1A3558" w:sz="4" w:space="0"/>
              <w:right w:val="single" w:color="1A3558" w:sz="4" w:space="0"/>
            </w:tcBorders>
            <w:shd w:val="clear" w:color="auto" w:fill="1967D2"/>
            <w:tcMar>
              <w:top w:w="80" w:type="dxa"/>
              <w:left w:w="120" w:type="dxa"/>
              <w:bottom w:w="80" w:type="dxa"/>
              <w:right w:w="120" w:type="dxa"/>
            </w:tcMar>
          </w:tcPr>
          <w:p w14:paraId="2023343B">
            <w:pPr>
              <w:jc w:val="center"/>
            </w:pPr>
            <w:r>
              <w:rPr>
                <w:rFonts w:ascii="Arial" w:hAnsi="Arial" w:eastAsia="Arial" w:cs="Arial"/>
                <w:b/>
                <w:bCs/>
                <w:color w:val="FFFFFF"/>
                <w:sz w:val="20"/>
                <w:szCs w:val="20"/>
              </w:rPr>
              <w:t>Google</w:t>
            </w:r>
          </w:p>
        </w:tc>
        <w:tc>
          <w:tcPr>
            <w:tcW w:w="1560" w:type="dxa"/>
            <w:tcBorders>
              <w:top w:val="single" w:color="1A3558" w:sz="4" w:space="0"/>
              <w:left w:val="single" w:color="1A3558" w:sz="4" w:space="0"/>
              <w:bottom w:val="single" w:color="1A3558" w:sz="4" w:space="0"/>
              <w:right w:val="single" w:color="1A3558" w:sz="4" w:space="0"/>
            </w:tcBorders>
            <w:shd w:val="clear" w:color="auto" w:fill="106EBE"/>
            <w:tcMar>
              <w:top w:w="80" w:type="dxa"/>
              <w:left w:w="120" w:type="dxa"/>
              <w:bottom w:w="80" w:type="dxa"/>
              <w:right w:w="120" w:type="dxa"/>
            </w:tcMar>
          </w:tcPr>
          <w:p w14:paraId="78980731">
            <w:pPr>
              <w:jc w:val="center"/>
            </w:pPr>
            <w:r>
              <w:rPr>
                <w:rFonts w:ascii="Arial" w:hAnsi="Arial" w:eastAsia="Arial" w:cs="Arial"/>
                <w:b/>
                <w:bCs/>
                <w:color w:val="FFFFFF"/>
                <w:sz w:val="20"/>
                <w:szCs w:val="20"/>
              </w:rPr>
              <w:t>MS 365</w:t>
            </w:r>
          </w:p>
        </w:tc>
        <w:tc>
          <w:tcPr>
            <w:tcW w:w="3800" w:type="dxa"/>
            <w:tcBorders>
              <w:top w:val="single" w:color="1A3558" w:sz="4" w:space="0"/>
              <w:left w:val="single" w:color="1A3558" w:sz="4" w:space="0"/>
              <w:bottom w:val="single" w:color="1A3558" w:sz="4" w:space="0"/>
              <w:right w:val="single" w:color="1A3558" w:sz="4" w:space="0"/>
            </w:tcBorders>
            <w:shd w:val="clear" w:color="auto" w:fill="0F6B6B"/>
            <w:tcMar>
              <w:top w:w="80" w:type="dxa"/>
              <w:left w:w="120" w:type="dxa"/>
              <w:bottom w:w="80" w:type="dxa"/>
              <w:right w:w="120" w:type="dxa"/>
            </w:tcMar>
          </w:tcPr>
          <w:p w14:paraId="613FCB5B">
            <w:r>
              <w:rPr>
                <w:rFonts w:ascii="Arial" w:hAnsi="Arial" w:eastAsia="Arial" w:cs="Arial"/>
                <w:b/>
                <w:bCs/>
                <w:color w:val="FFFFFF"/>
                <w:sz w:val="20"/>
                <w:szCs w:val="20"/>
              </w:rPr>
              <w:t>Advantage</w:t>
            </w:r>
          </w:p>
        </w:tc>
      </w:tr>
      <w:tr w14:paraId="46AC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2FBB217A">
            <w:r>
              <w:rPr>
                <w:rFonts w:ascii="Arial" w:hAnsi="Arial" w:eastAsia="Arial" w:cs="Arial"/>
                <w:b/>
                <w:bCs/>
                <w:color w:val="1A3558"/>
                <w:sz w:val="20"/>
                <w:szCs w:val="20"/>
              </w:rPr>
              <w:t>Collaboration &amp; Co-Editing</w:t>
            </w:r>
          </w:p>
        </w:tc>
        <w:tc>
          <w:tcPr>
            <w:tcW w:w="1560" w:type="dxa"/>
            <w:tcBorders>
              <w:top w:val="single" w:color="C5CAD3" w:sz="4" w:space="0"/>
              <w:left w:val="single" w:color="C5CAD3" w:sz="4" w:space="0"/>
              <w:bottom w:val="single" w:color="C5CAD3" w:sz="4" w:space="0"/>
              <w:right w:val="single" w:color="C5CAD3" w:sz="4" w:space="0"/>
            </w:tcBorders>
            <w:shd w:val="clear" w:color="auto" w:fill="E8F0FE"/>
            <w:tcMar>
              <w:top w:w="80" w:type="dxa"/>
              <w:left w:w="120" w:type="dxa"/>
              <w:bottom w:w="80" w:type="dxa"/>
              <w:right w:w="120" w:type="dxa"/>
            </w:tcMar>
          </w:tcPr>
          <w:p w14:paraId="7F58641A">
            <w:pPr>
              <w:jc w:val="center"/>
            </w:pPr>
            <w:r>
              <w:rPr>
                <w:rFonts w:ascii="Arial" w:hAnsi="Arial" w:eastAsia="Arial" w:cs="Arial"/>
                <w:b/>
                <w:bCs/>
                <w:color w:val="1967D2"/>
                <w:sz w:val="20"/>
                <w:szCs w:val="20"/>
              </w:rPr>
              <w:t>9/10</w:t>
            </w:r>
          </w:p>
        </w:tc>
        <w:tc>
          <w:tcPr>
            <w:tcW w:w="15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0CE84AAC">
            <w:pPr>
              <w:jc w:val="center"/>
            </w:pPr>
            <w:r>
              <w:rPr>
                <w:rFonts w:ascii="Arial" w:hAnsi="Arial" w:eastAsia="Arial" w:cs="Arial"/>
                <w:b/>
                <w:bCs/>
                <w:color w:val="4A5568"/>
                <w:sz w:val="20"/>
                <w:szCs w:val="20"/>
              </w:rPr>
              <w:t>8/10</w:t>
            </w:r>
          </w:p>
        </w:tc>
        <w:tc>
          <w:tcPr>
            <w:tcW w:w="3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5A0BBC38">
            <w:r>
              <w:rPr>
                <w:rFonts w:ascii="Arial" w:hAnsi="Arial" w:eastAsia="Arial" w:cs="Arial"/>
                <w:b/>
                <w:bCs/>
                <w:color w:val="1967D2"/>
                <w:sz w:val="19"/>
                <w:szCs w:val="19"/>
              </w:rPr>
              <w:t>Google Workspace</w:t>
            </w:r>
          </w:p>
        </w:tc>
      </w:tr>
      <w:tr w14:paraId="21FA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4BBBFF62">
            <w:r>
              <w:rPr>
                <w:rFonts w:ascii="Arial" w:hAnsi="Arial" w:eastAsia="Arial" w:cs="Arial"/>
                <w:b/>
                <w:bCs/>
                <w:color w:val="1A3558"/>
                <w:sz w:val="20"/>
                <w:szCs w:val="20"/>
              </w:rPr>
              <w:t>Document &amp; Records Management</w:t>
            </w:r>
          </w:p>
        </w:tc>
        <w:tc>
          <w:tcPr>
            <w:tcW w:w="15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57065D94">
            <w:pPr>
              <w:jc w:val="center"/>
            </w:pPr>
            <w:r>
              <w:rPr>
                <w:rFonts w:ascii="Arial" w:hAnsi="Arial" w:eastAsia="Arial" w:cs="Arial"/>
                <w:b/>
                <w:bCs/>
                <w:color w:val="4A5568"/>
                <w:sz w:val="20"/>
                <w:szCs w:val="20"/>
              </w:rPr>
              <w:t>7/10</w:t>
            </w:r>
          </w:p>
        </w:tc>
        <w:tc>
          <w:tcPr>
            <w:tcW w:w="1560" w:type="dxa"/>
            <w:tcBorders>
              <w:top w:val="single" w:color="C5CAD3" w:sz="4" w:space="0"/>
              <w:left w:val="single" w:color="C5CAD3" w:sz="4" w:space="0"/>
              <w:bottom w:val="single" w:color="C5CAD3" w:sz="4" w:space="0"/>
              <w:right w:val="single" w:color="C5CAD3" w:sz="4" w:space="0"/>
            </w:tcBorders>
            <w:shd w:val="clear" w:color="auto" w:fill="E3F2FD"/>
            <w:tcMar>
              <w:top w:w="80" w:type="dxa"/>
              <w:left w:w="120" w:type="dxa"/>
              <w:bottom w:w="80" w:type="dxa"/>
              <w:right w:w="120" w:type="dxa"/>
            </w:tcMar>
          </w:tcPr>
          <w:p w14:paraId="12249881">
            <w:pPr>
              <w:jc w:val="center"/>
            </w:pPr>
            <w:r>
              <w:rPr>
                <w:rFonts w:ascii="Arial" w:hAnsi="Arial" w:eastAsia="Arial" w:cs="Arial"/>
                <w:b/>
                <w:bCs/>
                <w:color w:val="106EBE"/>
                <w:sz w:val="20"/>
                <w:szCs w:val="20"/>
              </w:rPr>
              <w:t>10/10</w:t>
            </w:r>
          </w:p>
        </w:tc>
        <w:tc>
          <w:tcPr>
            <w:tcW w:w="38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043F53CD">
            <w:r>
              <w:rPr>
                <w:rFonts w:ascii="Arial" w:hAnsi="Arial" w:eastAsia="Arial" w:cs="Arial"/>
                <w:b/>
                <w:bCs/>
                <w:color w:val="106EBE"/>
                <w:sz w:val="19"/>
                <w:szCs w:val="19"/>
              </w:rPr>
              <w:t>Microsoft 365</w:t>
            </w:r>
          </w:p>
        </w:tc>
      </w:tr>
      <w:tr w14:paraId="7618B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6361F7A5">
            <w:r>
              <w:rPr>
                <w:rFonts w:ascii="Arial" w:hAnsi="Arial" w:eastAsia="Arial" w:cs="Arial"/>
                <w:b/>
                <w:bCs/>
                <w:color w:val="1A3558"/>
                <w:sz w:val="20"/>
                <w:szCs w:val="20"/>
              </w:rPr>
              <w:t>Data Entry &amp; Spreadsheets</w:t>
            </w:r>
          </w:p>
        </w:tc>
        <w:tc>
          <w:tcPr>
            <w:tcW w:w="15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6B14B771">
            <w:pPr>
              <w:jc w:val="center"/>
            </w:pPr>
            <w:r>
              <w:rPr>
                <w:rFonts w:ascii="Arial" w:hAnsi="Arial" w:eastAsia="Arial" w:cs="Arial"/>
                <w:b/>
                <w:bCs/>
                <w:color w:val="4A5568"/>
                <w:sz w:val="20"/>
                <w:szCs w:val="20"/>
              </w:rPr>
              <w:t>8/10</w:t>
            </w:r>
          </w:p>
        </w:tc>
        <w:tc>
          <w:tcPr>
            <w:tcW w:w="1560" w:type="dxa"/>
            <w:tcBorders>
              <w:top w:val="single" w:color="C5CAD3" w:sz="4" w:space="0"/>
              <w:left w:val="single" w:color="C5CAD3" w:sz="4" w:space="0"/>
              <w:bottom w:val="single" w:color="C5CAD3" w:sz="4" w:space="0"/>
              <w:right w:val="single" w:color="C5CAD3" w:sz="4" w:space="0"/>
            </w:tcBorders>
            <w:shd w:val="clear" w:color="auto" w:fill="E3F2FD"/>
            <w:tcMar>
              <w:top w:w="80" w:type="dxa"/>
              <w:left w:w="120" w:type="dxa"/>
              <w:bottom w:w="80" w:type="dxa"/>
              <w:right w:w="120" w:type="dxa"/>
            </w:tcMar>
          </w:tcPr>
          <w:p w14:paraId="3AB43BD7">
            <w:pPr>
              <w:jc w:val="center"/>
            </w:pPr>
            <w:r>
              <w:rPr>
                <w:rFonts w:ascii="Arial" w:hAnsi="Arial" w:eastAsia="Arial" w:cs="Arial"/>
                <w:b/>
                <w:bCs/>
                <w:color w:val="106EBE"/>
                <w:sz w:val="20"/>
                <w:szCs w:val="20"/>
              </w:rPr>
              <w:t>9/10</w:t>
            </w:r>
          </w:p>
        </w:tc>
        <w:tc>
          <w:tcPr>
            <w:tcW w:w="3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3384F92A">
            <w:r>
              <w:rPr>
                <w:rFonts w:ascii="Arial" w:hAnsi="Arial" w:eastAsia="Arial" w:cs="Arial"/>
                <w:b/>
                <w:bCs/>
                <w:color w:val="106EBE"/>
                <w:sz w:val="19"/>
                <w:szCs w:val="19"/>
              </w:rPr>
              <w:t>Microsoft 365</w:t>
            </w:r>
          </w:p>
        </w:tc>
      </w:tr>
      <w:tr w14:paraId="63A5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5178726B">
            <w:r>
              <w:rPr>
                <w:rFonts w:ascii="Arial" w:hAnsi="Arial" w:eastAsia="Arial" w:cs="Arial"/>
                <w:b/>
                <w:bCs/>
                <w:color w:val="1A3558"/>
                <w:sz w:val="20"/>
                <w:szCs w:val="20"/>
              </w:rPr>
              <w:t>Security &amp; Compliance</w:t>
            </w:r>
          </w:p>
        </w:tc>
        <w:tc>
          <w:tcPr>
            <w:tcW w:w="15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74D716E4">
            <w:pPr>
              <w:jc w:val="center"/>
            </w:pPr>
            <w:r>
              <w:rPr>
                <w:rFonts w:ascii="Arial" w:hAnsi="Arial" w:eastAsia="Arial" w:cs="Arial"/>
                <w:b/>
                <w:bCs/>
                <w:color w:val="4A5568"/>
                <w:sz w:val="20"/>
                <w:szCs w:val="20"/>
              </w:rPr>
              <w:t>8/10</w:t>
            </w:r>
          </w:p>
        </w:tc>
        <w:tc>
          <w:tcPr>
            <w:tcW w:w="1560" w:type="dxa"/>
            <w:tcBorders>
              <w:top w:val="single" w:color="C5CAD3" w:sz="4" w:space="0"/>
              <w:left w:val="single" w:color="C5CAD3" w:sz="4" w:space="0"/>
              <w:bottom w:val="single" w:color="C5CAD3" w:sz="4" w:space="0"/>
              <w:right w:val="single" w:color="C5CAD3" w:sz="4" w:space="0"/>
            </w:tcBorders>
            <w:shd w:val="clear" w:color="auto" w:fill="E3F2FD"/>
            <w:tcMar>
              <w:top w:w="80" w:type="dxa"/>
              <w:left w:w="120" w:type="dxa"/>
              <w:bottom w:w="80" w:type="dxa"/>
              <w:right w:w="120" w:type="dxa"/>
            </w:tcMar>
          </w:tcPr>
          <w:p w14:paraId="4E335B30">
            <w:pPr>
              <w:jc w:val="center"/>
            </w:pPr>
            <w:r>
              <w:rPr>
                <w:rFonts w:ascii="Arial" w:hAnsi="Arial" w:eastAsia="Arial" w:cs="Arial"/>
                <w:b/>
                <w:bCs/>
                <w:color w:val="106EBE"/>
                <w:sz w:val="20"/>
                <w:szCs w:val="20"/>
              </w:rPr>
              <w:t>9/10</w:t>
            </w:r>
          </w:p>
        </w:tc>
        <w:tc>
          <w:tcPr>
            <w:tcW w:w="38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709DB780">
            <w:r>
              <w:rPr>
                <w:rFonts w:ascii="Arial" w:hAnsi="Arial" w:eastAsia="Arial" w:cs="Arial"/>
                <w:b/>
                <w:bCs/>
                <w:color w:val="106EBE"/>
                <w:sz w:val="19"/>
                <w:szCs w:val="19"/>
              </w:rPr>
              <w:t>Microsoft 365</w:t>
            </w:r>
          </w:p>
        </w:tc>
      </w:tr>
      <w:tr w14:paraId="5F5CD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5FF3FBA4">
            <w:r>
              <w:rPr>
                <w:rFonts w:ascii="Arial" w:hAnsi="Arial" w:eastAsia="Arial" w:cs="Arial"/>
                <w:b/>
                <w:bCs/>
                <w:color w:val="1A3558"/>
                <w:sz w:val="20"/>
                <w:szCs w:val="20"/>
              </w:rPr>
              <w:t>Ease of Use &amp; Onboarding</w:t>
            </w:r>
          </w:p>
        </w:tc>
        <w:tc>
          <w:tcPr>
            <w:tcW w:w="1560" w:type="dxa"/>
            <w:tcBorders>
              <w:top w:val="single" w:color="C5CAD3" w:sz="4" w:space="0"/>
              <w:left w:val="single" w:color="C5CAD3" w:sz="4" w:space="0"/>
              <w:bottom w:val="single" w:color="C5CAD3" w:sz="4" w:space="0"/>
              <w:right w:val="single" w:color="C5CAD3" w:sz="4" w:space="0"/>
            </w:tcBorders>
            <w:shd w:val="clear" w:color="auto" w:fill="E8F0FE"/>
            <w:tcMar>
              <w:top w:w="80" w:type="dxa"/>
              <w:left w:w="120" w:type="dxa"/>
              <w:bottom w:w="80" w:type="dxa"/>
              <w:right w:w="120" w:type="dxa"/>
            </w:tcMar>
          </w:tcPr>
          <w:p w14:paraId="5889A9AD">
            <w:pPr>
              <w:jc w:val="center"/>
            </w:pPr>
            <w:r>
              <w:rPr>
                <w:rFonts w:ascii="Arial" w:hAnsi="Arial" w:eastAsia="Arial" w:cs="Arial"/>
                <w:b/>
                <w:bCs/>
                <w:color w:val="1967D2"/>
                <w:sz w:val="20"/>
                <w:szCs w:val="20"/>
              </w:rPr>
              <w:t>9/10</w:t>
            </w:r>
          </w:p>
        </w:tc>
        <w:tc>
          <w:tcPr>
            <w:tcW w:w="15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12AEE2EB">
            <w:pPr>
              <w:jc w:val="center"/>
            </w:pPr>
            <w:r>
              <w:rPr>
                <w:rFonts w:ascii="Arial" w:hAnsi="Arial" w:eastAsia="Arial" w:cs="Arial"/>
                <w:b/>
                <w:bCs/>
                <w:color w:val="4A5568"/>
                <w:sz w:val="20"/>
                <w:szCs w:val="20"/>
              </w:rPr>
              <w:t>7/10</w:t>
            </w:r>
          </w:p>
        </w:tc>
        <w:tc>
          <w:tcPr>
            <w:tcW w:w="3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2D27444A">
            <w:r>
              <w:rPr>
                <w:rFonts w:ascii="Arial" w:hAnsi="Arial" w:eastAsia="Arial" w:cs="Arial"/>
                <w:b/>
                <w:bCs/>
                <w:color w:val="1967D2"/>
                <w:sz w:val="19"/>
                <w:szCs w:val="19"/>
              </w:rPr>
              <w:t>Google Workspace</w:t>
            </w:r>
          </w:p>
        </w:tc>
      </w:tr>
      <w:tr w14:paraId="5D67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3DDF42BD">
            <w:r>
              <w:rPr>
                <w:rFonts w:ascii="Arial" w:hAnsi="Arial" w:eastAsia="Arial" w:cs="Arial"/>
                <w:b/>
                <w:bCs/>
                <w:color w:val="1A3558"/>
                <w:sz w:val="20"/>
                <w:szCs w:val="20"/>
              </w:rPr>
              <w:t>Offline Functionality</w:t>
            </w:r>
          </w:p>
        </w:tc>
        <w:tc>
          <w:tcPr>
            <w:tcW w:w="156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07B67276">
            <w:pPr>
              <w:jc w:val="center"/>
            </w:pPr>
            <w:r>
              <w:rPr>
                <w:rFonts w:ascii="Arial" w:hAnsi="Arial" w:eastAsia="Arial" w:cs="Arial"/>
                <w:b/>
                <w:bCs/>
                <w:color w:val="4A5568"/>
                <w:sz w:val="20"/>
                <w:szCs w:val="20"/>
              </w:rPr>
              <w:t>5/10</w:t>
            </w:r>
          </w:p>
        </w:tc>
        <w:tc>
          <w:tcPr>
            <w:tcW w:w="1560" w:type="dxa"/>
            <w:tcBorders>
              <w:top w:val="single" w:color="C5CAD3" w:sz="4" w:space="0"/>
              <w:left w:val="single" w:color="C5CAD3" w:sz="4" w:space="0"/>
              <w:bottom w:val="single" w:color="C5CAD3" w:sz="4" w:space="0"/>
              <w:right w:val="single" w:color="C5CAD3" w:sz="4" w:space="0"/>
            </w:tcBorders>
            <w:shd w:val="clear" w:color="auto" w:fill="E3F2FD"/>
            <w:tcMar>
              <w:top w:w="80" w:type="dxa"/>
              <w:left w:w="120" w:type="dxa"/>
              <w:bottom w:w="80" w:type="dxa"/>
              <w:right w:w="120" w:type="dxa"/>
            </w:tcMar>
          </w:tcPr>
          <w:p w14:paraId="09E443BB">
            <w:pPr>
              <w:jc w:val="center"/>
            </w:pPr>
            <w:r>
              <w:rPr>
                <w:rFonts w:ascii="Arial" w:hAnsi="Arial" w:eastAsia="Arial" w:cs="Arial"/>
                <w:b/>
                <w:bCs/>
                <w:color w:val="106EBE"/>
                <w:sz w:val="20"/>
                <w:szCs w:val="20"/>
              </w:rPr>
              <w:t>10/10</w:t>
            </w:r>
          </w:p>
        </w:tc>
        <w:tc>
          <w:tcPr>
            <w:tcW w:w="3800" w:type="dxa"/>
            <w:tcBorders>
              <w:top w:val="single" w:color="C5CAD3" w:sz="4" w:space="0"/>
              <w:left w:val="single" w:color="C5CAD3" w:sz="4" w:space="0"/>
              <w:bottom w:val="single" w:color="C5CAD3" w:sz="4" w:space="0"/>
              <w:right w:val="single" w:color="C5CAD3" w:sz="4" w:space="0"/>
            </w:tcBorders>
            <w:shd w:val="clear" w:color="auto" w:fill="F4F6F9"/>
            <w:tcMar>
              <w:top w:w="80" w:type="dxa"/>
              <w:left w:w="120" w:type="dxa"/>
              <w:bottom w:w="80" w:type="dxa"/>
              <w:right w:w="120" w:type="dxa"/>
            </w:tcMar>
          </w:tcPr>
          <w:p w14:paraId="2853654F">
            <w:r>
              <w:rPr>
                <w:rFonts w:ascii="Arial" w:hAnsi="Arial" w:eastAsia="Arial" w:cs="Arial"/>
                <w:b/>
                <w:bCs/>
                <w:color w:val="106EBE"/>
                <w:sz w:val="19"/>
                <w:szCs w:val="19"/>
              </w:rPr>
              <w:t>Microsoft 365</w:t>
            </w:r>
          </w:p>
        </w:tc>
      </w:tr>
      <w:tr w14:paraId="0181C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66771C32">
            <w:r>
              <w:rPr>
                <w:rFonts w:ascii="Arial" w:hAnsi="Arial" w:eastAsia="Arial" w:cs="Arial"/>
                <w:b/>
                <w:bCs/>
                <w:color w:val="1A3558"/>
                <w:sz w:val="20"/>
                <w:szCs w:val="20"/>
              </w:rPr>
              <w:t>Pricing &amp; Value</w:t>
            </w:r>
          </w:p>
        </w:tc>
        <w:tc>
          <w:tcPr>
            <w:tcW w:w="1560" w:type="dxa"/>
            <w:tcBorders>
              <w:top w:val="single" w:color="C5CAD3" w:sz="4" w:space="0"/>
              <w:left w:val="single" w:color="C5CAD3" w:sz="4" w:space="0"/>
              <w:bottom w:val="single" w:color="C5CAD3" w:sz="4" w:space="0"/>
              <w:right w:val="single" w:color="C5CAD3" w:sz="4" w:space="0"/>
            </w:tcBorders>
            <w:shd w:val="clear" w:color="auto" w:fill="E8F0FE"/>
            <w:tcMar>
              <w:top w:w="80" w:type="dxa"/>
              <w:left w:w="120" w:type="dxa"/>
              <w:bottom w:w="80" w:type="dxa"/>
              <w:right w:w="120" w:type="dxa"/>
            </w:tcMar>
          </w:tcPr>
          <w:p w14:paraId="3AEB5CE9">
            <w:pPr>
              <w:jc w:val="center"/>
            </w:pPr>
            <w:r>
              <w:rPr>
                <w:rFonts w:ascii="Arial" w:hAnsi="Arial" w:eastAsia="Arial" w:cs="Arial"/>
                <w:b/>
                <w:bCs/>
                <w:color w:val="1967D2"/>
                <w:sz w:val="20"/>
                <w:szCs w:val="20"/>
              </w:rPr>
              <w:t>9/10</w:t>
            </w:r>
          </w:p>
        </w:tc>
        <w:tc>
          <w:tcPr>
            <w:tcW w:w="156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00C81ABB">
            <w:pPr>
              <w:jc w:val="center"/>
            </w:pPr>
            <w:r>
              <w:rPr>
                <w:rFonts w:ascii="Arial" w:hAnsi="Arial" w:eastAsia="Arial" w:cs="Arial"/>
                <w:b/>
                <w:bCs/>
                <w:color w:val="4A5568"/>
                <w:sz w:val="20"/>
                <w:szCs w:val="20"/>
              </w:rPr>
              <w:t>8/10</w:t>
            </w:r>
          </w:p>
        </w:tc>
        <w:tc>
          <w:tcPr>
            <w:tcW w:w="3800" w:type="dxa"/>
            <w:tcBorders>
              <w:top w:val="single" w:color="C5CAD3" w:sz="4" w:space="0"/>
              <w:left w:val="single" w:color="C5CAD3" w:sz="4" w:space="0"/>
              <w:bottom w:val="single" w:color="C5CAD3" w:sz="4" w:space="0"/>
              <w:right w:val="single" w:color="C5CAD3" w:sz="4" w:space="0"/>
            </w:tcBorders>
            <w:shd w:val="clear" w:color="auto" w:fill="FFFFFF"/>
            <w:tcMar>
              <w:top w:w="80" w:type="dxa"/>
              <w:left w:w="120" w:type="dxa"/>
              <w:bottom w:w="80" w:type="dxa"/>
              <w:right w:w="120" w:type="dxa"/>
            </w:tcMar>
          </w:tcPr>
          <w:p w14:paraId="5B3384AC">
            <w:r>
              <w:rPr>
                <w:rFonts w:ascii="Arial" w:hAnsi="Arial" w:eastAsia="Arial" w:cs="Arial"/>
                <w:b/>
                <w:bCs/>
                <w:color w:val="1967D2"/>
                <w:sz w:val="19"/>
                <w:szCs w:val="19"/>
              </w:rPr>
              <w:t>Google Workspace</w:t>
            </w:r>
          </w:p>
        </w:tc>
      </w:tr>
      <w:tr w14:paraId="7106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3558" w:sz="4" w:space="0"/>
              <w:left w:val="single" w:color="1A3558" w:sz="4" w:space="0"/>
              <w:bottom w:val="single" w:color="1A3558" w:sz="4" w:space="0"/>
              <w:right w:val="single" w:color="1A3558" w:sz="4" w:space="0"/>
            </w:tcBorders>
            <w:shd w:val="clear" w:color="auto" w:fill="1A3558"/>
            <w:tcMar>
              <w:top w:w="80" w:type="dxa"/>
              <w:left w:w="120" w:type="dxa"/>
              <w:bottom w:w="80" w:type="dxa"/>
              <w:right w:w="120" w:type="dxa"/>
            </w:tcMar>
          </w:tcPr>
          <w:p w14:paraId="7F53A110">
            <w:r>
              <w:rPr>
                <w:rFonts w:ascii="Arial" w:hAnsi="Arial" w:eastAsia="Arial" w:cs="Arial"/>
                <w:b/>
                <w:bCs/>
                <w:color w:val="FFFFFF"/>
                <w:sz w:val="21"/>
                <w:szCs w:val="21"/>
              </w:rPr>
              <w:t>TOTAL SCORE</w:t>
            </w:r>
          </w:p>
        </w:tc>
        <w:tc>
          <w:tcPr>
            <w:tcW w:w="1560" w:type="dxa"/>
            <w:tcBorders>
              <w:top w:val="single" w:color="1A3558" w:sz="4" w:space="0"/>
              <w:left w:val="single" w:color="1A3558" w:sz="4" w:space="0"/>
              <w:bottom w:val="single" w:color="1A3558" w:sz="4" w:space="0"/>
              <w:right w:val="single" w:color="1A3558" w:sz="4" w:space="0"/>
            </w:tcBorders>
            <w:shd w:val="clear" w:color="auto" w:fill="E8F0FE"/>
            <w:tcMar>
              <w:top w:w="80" w:type="dxa"/>
              <w:left w:w="120" w:type="dxa"/>
              <w:bottom w:w="80" w:type="dxa"/>
              <w:right w:w="120" w:type="dxa"/>
            </w:tcMar>
          </w:tcPr>
          <w:p w14:paraId="35B82EEA">
            <w:pPr>
              <w:jc w:val="center"/>
            </w:pPr>
            <w:r>
              <w:rPr>
                <w:rFonts w:ascii="Arial" w:hAnsi="Arial" w:eastAsia="Arial" w:cs="Arial"/>
                <w:b/>
                <w:bCs/>
                <w:color w:val="1967D2"/>
                <w:sz w:val="21"/>
                <w:szCs w:val="21"/>
              </w:rPr>
              <w:t>55 / 70</w:t>
            </w:r>
          </w:p>
        </w:tc>
        <w:tc>
          <w:tcPr>
            <w:tcW w:w="1560" w:type="dxa"/>
            <w:tcBorders>
              <w:top w:val="single" w:color="1A3558" w:sz="4" w:space="0"/>
              <w:left w:val="single" w:color="1A3558" w:sz="4" w:space="0"/>
              <w:bottom w:val="single" w:color="1A3558" w:sz="4" w:space="0"/>
              <w:right w:val="single" w:color="1A3558" w:sz="4" w:space="0"/>
            </w:tcBorders>
            <w:shd w:val="clear" w:color="auto" w:fill="E3F2FD"/>
            <w:tcMar>
              <w:top w:w="80" w:type="dxa"/>
              <w:left w:w="120" w:type="dxa"/>
              <w:bottom w:w="80" w:type="dxa"/>
              <w:right w:w="120" w:type="dxa"/>
            </w:tcMar>
          </w:tcPr>
          <w:p w14:paraId="30A37A02">
            <w:pPr>
              <w:jc w:val="center"/>
            </w:pPr>
            <w:r>
              <w:rPr>
                <w:rFonts w:ascii="Arial" w:hAnsi="Arial" w:eastAsia="Arial" w:cs="Arial"/>
                <w:b/>
                <w:bCs/>
                <w:color w:val="106EBE"/>
                <w:sz w:val="21"/>
                <w:szCs w:val="21"/>
              </w:rPr>
              <w:t>61 / 70</w:t>
            </w:r>
          </w:p>
        </w:tc>
        <w:tc>
          <w:tcPr>
            <w:tcW w:w="3800" w:type="dxa"/>
            <w:tcBorders>
              <w:top w:val="single" w:color="1A3558" w:sz="4" w:space="0"/>
              <w:left w:val="single" w:color="1A3558" w:sz="4" w:space="0"/>
              <w:bottom w:val="single" w:color="1A3558" w:sz="4" w:space="0"/>
              <w:right w:val="single" w:color="1A3558" w:sz="4" w:space="0"/>
            </w:tcBorders>
            <w:shd w:val="clear" w:color="auto" w:fill="D6E8FA"/>
            <w:tcMar>
              <w:top w:w="80" w:type="dxa"/>
              <w:left w:w="120" w:type="dxa"/>
              <w:bottom w:w="80" w:type="dxa"/>
              <w:right w:w="120" w:type="dxa"/>
            </w:tcMar>
          </w:tcPr>
          <w:p w14:paraId="695348C6">
            <w:r>
              <w:rPr>
                <w:rFonts w:ascii="Arial" w:hAnsi="Arial" w:eastAsia="Arial" w:cs="Arial"/>
                <w:b/>
                <w:bCs/>
                <w:color w:val="106EBE"/>
                <w:sz w:val="21"/>
                <w:szCs w:val="21"/>
              </w:rPr>
              <w:t>Microsoft 365 — Overall Winner</w:t>
            </w:r>
          </w:p>
        </w:tc>
      </w:tr>
    </w:tbl>
    <w:p w14:paraId="1F718C50">
      <w:pPr>
        <w:spacing w:before="60" w:after="120"/>
        <w:jc w:val="center"/>
      </w:pPr>
      <w:r>
        <w:rPr>
          <w:rFonts w:ascii="Arial" w:hAnsi="Arial" w:eastAsia="Arial" w:cs="Arial"/>
          <w:b w:val="0"/>
          <w:bCs w:val="0"/>
          <w:color w:val="4A5568"/>
          <w:sz w:val="18"/>
          <w:szCs w:val="18"/>
        </w:rPr>
        <w:t>Table 2 — Weighted Scorecard: Administrative &amp; Records Management Use Case</w:t>
      </w:r>
    </w:p>
    <w:p w14:paraId="0D23BEC9">
      <w:pPr>
        <w:pStyle w:val="2"/>
      </w:pPr>
      <w:r>
        <w:rPr>
          <w:rFonts w:ascii="Arial" w:hAnsi="Arial" w:eastAsia="Arial" w:cs="Arial"/>
          <w:b/>
          <w:bCs/>
          <w:color w:val="1A3558"/>
          <w:sz w:val="30"/>
          <w:szCs w:val="30"/>
        </w:rPr>
        <w:t>7.  Recommendations</w:t>
      </w:r>
    </w:p>
    <w:p w14:paraId="60A8E85E">
      <w:pPr>
        <w:pStyle w:val="3"/>
      </w:pPr>
      <w:r>
        <w:rPr>
          <w:rFonts w:ascii="Arial" w:hAnsi="Arial" w:eastAsia="Arial" w:cs="Arial"/>
          <w:b/>
          <w:bCs/>
          <w:color w:val="106EBE"/>
          <w:sz w:val="24"/>
          <w:szCs w:val="24"/>
        </w:rPr>
        <w:t>7.1  Primary Recommendation: Microsoft 365</w:t>
      </w:r>
    </w:p>
    <w:p w14:paraId="2118C1C0">
      <w:pPr>
        <w:spacing w:before="0" w:after="160" w:line="280" w:lineRule="auto"/>
      </w:pPr>
      <w:r>
        <w:rPr>
          <w:rFonts w:ascii="Arial" w:hAnsi="Arial" w:eastAsia="Arial" w:cs="Arial"/>
          <w:b w:val="0"/>
          <w:bCs w:val="0"/>
          <w:color w:val="1A1A1A"/>
          <w:sz w:val="22"/>
          <w:szCs w:val="22"/>
        </w:rPr>
        <w:t>Based on the evaluation, Microsoft 365 is the recommended platform for Northgate Solutions Inc. The following factors support this recommendation:</w:t>
      </w:r>
    </w:p>
    <w:p w14:paraId="3031CD67">
      <w:pPr>
        <w:pStyle w:val="14"/>
        <w:numPr>
          <w:ilvl w:val="0"/>
          <w:numId w:val="1"/>
        </w:numPr>
        <w:spacing w:before="40" w:after="40"/>
      </w:pPr>
      <w:r>
        <w:rPr>
          <w:rFonts w:ascii="Arial" w:hAnsi="Arial" w:eastAsia="Arial" w:cs="Arial"/>
          <w:b/>
          <w:bCs/>
          <w:color w:val="1A3558"/>
          <w:sz w:val="22"/>
          <w:szCs w:val="22"/>
        </w:rPr>
        <w:t xml:space="preserve">Document fidelity: </w:t>
      </w:r>
      <w:r>
        <w:rPr>
          <w:rFonts w:ascii="Arial" w:hAnsi="Arial" w:eastAsia="Arial" w:cs="Arial"/>
          <w:b w:val="0"/>
          <w:bCs w:val="0"/>
          <w:color w:val="1A1A1A"/>
          <w:sz w:val="22"/>
          <w:szCs w:val="22"/>
        </w:rPr>
        <w:t>The Operations Department produces formal memos, reports, and letters that require precise Word formatting. Microsoft Word’s superior formatting engine ensures documents meet professional standards without compatibility issues when shared externally.</w:t>
      </w:r>
    </w:p>
    <w:p w14:paraId="0106854F">
      <w:pPr>
        <w:pStyle w:val="14"/>
        <w:numPr>
          <w:ilvl w:val="0"/>
          <w:numId w:val="1"/>
        </w:numPr>
        <w:spacing w:before="40" w:after="40"/>
      </w:pPr>
      <w:r>
        <w:rPr>
          <w:rFonts w:ascii="Arial" w:hAnsi="Arial" w:eastAsia="Arial" w:cs="Arial"/>
          <w:b/>
          <w:bCs/>
          <w:color w:val="1A3558"/>
          <w:sz w:val="22"/>
          <w:szCs w:val="22"/>
        </w:rPr>
        <w:t xml:space="preserve">Spreadsheet power: </w:t>
      </w:r>
      <w:r>
        <w:rPr>
          <w:rFonts w:ascii="Arial" w:hAnsi="Arial" w:eastAsia="Arial" w:cs="Arial"/>
          <w:b w:val="0"/>
          <w:bCs w:val="0"/>
          <w:color w:val="1A1A1A"/>
          <w:sz w:val="22"/>
          <w:szCs w:val="22"/>
        </w:rPr>
        <w:t>Data encoding and records management work requires advanced Excel functionality (data validation, VLOOKUP/XLOOKUP, pivot tables, macros) that Google Sheets does not fully replicate.</w:t>
      </w:r>
    </w:p>
    <w:p w14:paraId="5CBA114C">
      <w:pPr>
        <w:pStyle w:val="14"/>
        <w:numPr>
          <w:ilvl w:val="0"/>
          <w:numId w:val="1"/>
        </w:numPr>
        <w:spacing w:before="40" w:after="40"/>
      </w:pPr>
      <w:r>
        <w:rPr>
          <w:rFonts w:ascii="Arial" w:hAnsi="Arial" w:eastAsia="Arial" w:cs="Arial"/>
          <w:b/>
          <w:bCs/>
          <w:color w:val="1A3558"/>
          <w:sz w:val="22"/>
          <w:szCs w:val="22"/>
        </w:rPr>
        <w:t xml:space="preserve">Existing infrastructure: </w:t>
      </w:r>
      <w:r>
        <w:rPr>
          <w:rFonts w:ascii="Arial" w:hAnsi="Arial" w:eastAsia="Arial" w:cs="Arial"/>
          <w:b w:val="0"/>
          <w:bCs w:val="0"/>
          <w:color w:val="1A1A1A"/>
          <w:sz w:val="22"/>
          <w:szCs w:val="22"/>
        </w:rPr>
        <w:t>Northgate Solutions Inc.’s current Windows-based environment integrates seamlessly with Microsoft 365, minimizing transition costs and training time.</w:t>
      </w:r>
    </w:p>
    <w:p w14:paraId="4DB9E60E">
      <w:pPr>
        <w:pStyle w:val="14"/>
        <w:numPr>
          <w:ilvl w:val="0"/>
          <w:numId w:val="1"/>
        </w:numPr>
        <w:spacing w:before="40" w:after="40"/>
      </w:pPr>
      <w:r>
        <w:rPr>
          <w:rFonts w:ascii="Arial" w:hAnsi="Arial" w:eastAsia="Arial" w:cs="Arial"/>
          <w:b/>
          <w:bCs/>
          <w:color w:val="1A3558"/>
          <w:sz w:val="22"/>
          <w:szCs w:val="22"/>
        </w:rPr>
        <w:t xml:space="preserve">Offline reliability: </w:t>
      </w:r>
      <w:r>
        <w:rPr>
          <w:rFonts w:ascii="Arial" w:hAnsi="Arial" w:eastAsia="Arial" w:cs="Arial"/>
          <w:b w:val="0"/>
          <w:bCs w:val="0"/>
          <w:color w:val="1A1A1A"/>
          <w:sz w:val="22"/>
          <w:szCs w:val="22"/>
        </w:rPr>
        <w:t>Full offline capability ensures uninterrupted work during connectivity issues, which is critical for deadline-sensitive encoding and reporting tasks.</w:t>
      </w:r>
    </w:p>
    <w:p w14:paraId="0F0FCDBD">
      <w:pPr>
        <w:pStyle w:val="14"/>
        <w:numPr>
          <w:ilvl w:val="0"/>
          <w:numId w:val="1"/>
        </w:numPr>
        <w:spacing w:before="40" w:after="40"/>
      </w:pPr>
      <w:r>
        <w:rPr>
          <w:rFonts w:ascii="Arial" w:hAnsi="Arial" w:eastAsia="Arial" w:cs="Arial"/>
          <w:b/>
          <w:bCs/>
          <w:color w:val="1A3558"/>
          <w:sz w:val="22"/>
          <w:szCs w:val="22"/>
        </w:rPr>
        <w:t xml:space="preserve">Enterprise security: </w:t>
      </w:r>
      <w:r>
        <w:rPr>
          <w:rFonts w:ascii="Arial" w:hAnsi="Arial" w:eastAsia="Arial" w:cs="Arial"/>
          <w:b w:val="0"/>
          <w:bCs w:val="0"/>
          <w:color w:val="1A1A1A"/>
          <w:sz w:val="22"/>
          <w:szCs w:val="22"/>
        </w:rPr>
        <w:t>Microsoft 365’s advanced security features (Defender, Intune, Conditional Access) are better suited for handling the confidential data managed by the Operations Department.</w:t>
      </w:r>
    </w:p>
    <w:p w14:paraId="5500B5E5">
      <w:pPr>
        <w:pStyle w:val="3"/>
      </w:pPr>
      <w:r>
        <w:rPr>
          <w:rFonts w:ascii="Arial" w:hAnsi="Arial" w:eastAsia="Arial" w:cs="Arial"/>
          <w:b/>
          <w:bCs/>
          <w:color w:val="1967D2"/>
          <w:sz w:val="24"/>
          <w:szCs w:val="24"/>
        </w:rPr>
        <w:t>7.2  When to Consider Google Workspace Instead</w:t>
      </w:r>
    </w:p>
    <w:p w14:paraId="4BFDFA4F">
      <w:pPr>
        <w:spacing w:before="0" w:after="160" w:line="280" w:lineRule="auto"/>
      </w:pPr>
      <w:r>
        <w:rPr>
          <w:rFonts w:ascii="Arial" w:hAnsi="Arial" w:eastAsia="Arial" w:cs="Arial"/>
          <w:b w:val="0"/>
          <w:bCs w:val="0"/>
          <w:color w:val="1A1A1A"/>
          <w:sz w:val="22"/>
          <w:szCs w:val="22"/>
        </w:rPr>
        <w:t>Google Workspace is the preferred choice for organizations that:</w:t>
      </w:r>
    </w:p>
    <w:p w14:paraId="349C8FDE">
      <w:pPr>
        <w:pStyle w:val="14"/>
        <w:numPr>
          <w:ilvl w:val="0"/>
          <w:numId w:val="1"/>
        </w:numPr>
        <w:spacing w:before="40" w:after="40"/>
      </w:pPr>
      <w:r>
        <w:rPr>
          <w:rFonts w:ascii="Arial" w:hAnsi="Arial" w:eastAsia="Arial" w:cs="Arial"/>
          <w:b w:val="0"/>
          <w:bCs w:val="0"/>
          <w:color w:val="1A1A1A"/>
          <w:sz w:val="22"/>
          <w:szCs w:val="22"/>
        </w:rPr>
        <w:t>Are entirely cloud-based with no reliance on desktop applications</w:t>
      </w:r>
    </w:p>
    <w:p w14:paraId="5C41389E">
      <w:pPr>
        <w:pStyle w:val="14"/>
        <w:numPr>
          <w:ilvl w:val="0"/>
          <w:numId w:val="1"/>
        </w:numPr>
        <w:spacing w:before="40" w:after="40"/>
      </w:pPr>
      <w:r>
        <w:rPr>
          <w:rFonts w:ascii="Arial" w:hAnsi="Arial" w:eastAsia="Arial" w:cs="Arial"/>
          <w:b w:val="0"/>
          <w:bCs w:val="0"/>
          <w:color w:val="1A1A1A"/>
          <w:sz w:val="22"/>
          <w:szCs w:val="22"/>
        </w:rPr>
        <w:t>Prioritize simplicity, fast onboarding, and minimal IT overhead</w:t>
      </w:r>
    </w:p>
    <w:p w14:paraId="5B381027">
      <w:pPr>
        <w:pStyle w:val="14"/>
        <w:numPr>
          <w:ilvl w:val="0"/>
          <w:numId w:val="1"/>
        </w:numPr>
        <w:spacing w:before="40" w:after="40"/>
      </w:pPr>
      <w:r>
        <w:rPr>
          <w:rFonts w:ascii="Arial" w:hAnsi="Arial" w:eastAsia="Arial" w:cs="Arial"/>
          <w:b w:val="0"/>
          <w:bCs w:val="0"/>
          <w:color w:val="1A1A1A"/>
          <w:sz w:val="22"/>
          <w:szCs w:val="22"/>
        </w:rPr>
        <w:t>Operate with small, distributed, or remote-first teams</w:t>
      </w:r>
    </w:p>
    <w:p w14:paraId="703C9630">
      <w:pPr>
        <w:pStyle w:val="14"/>
        <w:numPr>
          <w:ilvl w:val="0"/>
          <w:numId w:val="1"/>
        </w:numPr>
        <w:spacing w:before="40" w:after="40"/>
      </w:pPr>
      <w:r>
        <w:rPr>
          <w:rFonts w:ascii="Arial" w:hAnsi="Arial" w:eastAsia="Arial" w:cs="Arial"/>
          <w:b w:val="0"/>
          <w:bCs w:val="0"/>
          <w:color w:val="1A1A1A"/>
          <w:sz w:val="22"/>
          <w:szCs w:val="22"/>
        </w:rPr>
        <w:t>Use Chromebooks or non-Windows devices as primary work hardware</w:t>
      </w:r>
    </w:p>
    <w:p w14:paraId="7642CCC6">
      <w:pPr>
        <w:pStyle w:val="14"/>
        <w:numPr>
          <w:ilvl w:val="0"/>
          <w:numId w:val="1"/>
        </w:numPr>
        <w:spacing w:before="40" w:after="40"/>
      </w:pPr>
      <w:r>
        <w:rPr>
          <w:rFonts w:ascii="Arial" w:hAnsi="Arial" w:eastAsia="Arial" w:cs="Arial"/>
          <w:b w:val="0"/>
          <w:bCs w:val="0"/>
          <w:color w:val="1A1A1A"/>
          <w:sz w:val="22"/>
          <w:szCs w:val="22"/>
        </w:rPr>
        <w:t>Have tight budgets and do not require full desktop Office applications</w:t>
      </w:r>
    </w:p>
    <w:p w14:paraId="14707542">
      <w:pPr>
        <w:pStyle w:val="2"/>
      </w:pPr>
      <w:r>
        <w:rPr>
          <w:rFonts w:ascii="Arial" w:hAnsi="Arial" w:eastAsia="Arial" w:cs="Arial"/>
          <w:b/>
          <w:bCs/>
          <w:color w:val="1A3558"/>
          <w:sz w:val="30"/>
          <w:szCs w:val="30"/>
        </w:rPr>
        <w:t>8.  Conclusion</w:t>
      </w:r>
    </w:p>
    <w:p w14:paraId="34AD9418">
      <w:pPr>
        <w:spacing w:before="0" w:after="160" w:line="280" w:lineRule="auto"/>
      </w:pPr>
      <w:r>
        <w:rPr>
          <w:rFonts w:ascii="Arial" w:hAnsi="Arial" w:eastAsia="Arial" w:cs="Arial"/>
          <w:b w:val="0"/>
          <w:bCs w:val="0"/>
          <w:color w:val="1A1A1A"/>
          <w:sz w:val="22"/>
          <w:szCs w:val="22"/>
        </w:rPr>
        <w:t>Both Google Workspace and Microsoft 365 are mature, capable, and well-supported productivity platforms. Neither is objectively superior across all use cases. The right choice depends on an organization’s specific workflow requirements, team size, IT infrastructure, and budget. For document-intensive administrative and records management environments such as the Operations Department at Northgate Solutions Inc., Microsoft 365 provides a stronger overall platform due to its superior document formatting, offline access, spreadsheet power, and enterprise-grade security.</w:t>
      </w:r>
    </w:p>
    <w:p w14:paraId="07CC6B94">
      <w:pPr>
        <w:spacing w:before="0" w:after="160" w:line="280" w:lineRule="auto"/>
      </w:pPr>
      <w:r>
        <w:rPr>
          <w:rFonts w:ascii="Arial" w:hAnsi="Arial" w:eastAsia="Arial" w:cs="Arial"/>
          <w:b w:val="0"/>
          <w:bCs w:val="0"/>
          <w:color w:val="1A1A1A"/>
          <w:sz w:val="22"/>
          <w:szCs w:val="22"/>
        </w:rPr>
        <w:t>Organizations that do not yet rely heavily on formatted documents and that value simplicity and seamless real-time collaboration will find Google Workspace an equally compelling and cost-effective alternative. Both platforms continue to invest heavily in narrowing their respective feature gaps, and the competitive landscape between them is expected to remain close for the foreseeable future.</w:t>
      </w:r>
    </w:p>
    <w:p w14:paraId="677198ED">
      <w:pPr>
        <w:spacing w:before="60" w:after="40"/>
      </w:pPr>
    </w:p>
    <w:p w14:paraId="4DFF99BB">
      <w:pPr>
        <w:pBdr>
          <w:bottom w:val="single" w:color="C5CAD3" w:sz="4" w:space="1"/>
        </w:pBdr>
        <w:spacing w:before="0" w:after="80"/>
      </w:pPr>
    </w:p>
    <w:p w14:paraId="3560A547">
      <w:pPr>
        <w:pStyle w:val="2"/>
      </w:pPr>
      <w:r>
        <w:rPr>
          <w:rFonts w:ascii="Arial" w:hAnsi="Arial" w:eastAsia="Arial" w:cs="Arial"/>
          <w:b/>
          <w:bCs/>
          <w:color w:val="1A3558"/>
          <w:sz w:val="30"/>
          <w:szCs w:val="30"/>
        </w:rPr>
        <w:t>9.  References</w:t>
      </w:r>
    </w:p>
    <w:p w14:paraId="31A22AD8">
      <w:pPr>
        <w:spacing w:before="60" w:after="40"/>
        <w:ind w:left="720" w:hanging="720"/>
      </w:pPr>
      <w:r>
        <w:rPr>
          <w:rFonts w:ascii="Arial" w:hAnsi="Arial" w:eastAsia="Arial" w:cs="Arial"/>
          <w:b w:val="0"/>
          <w:bCs w:val="0"/>
          <w:color w:val="1A1A1A"/>
          <w:sz w:val="19"/>
          <w:szCs w:val="19"/>
        </w:rPr>
        <w:t>[1]  Google LLC. (2025). Google Workspace plans and pricing. Retrieved from https://workspace.google.com/pricing</w:t>
      </w:r>
    </w:p>
    <w:p w14:paraId="76CAEE69">
      <w:pPr>
        <w:spacing w:before="60" w:after="40"/>
        <w:ind w:left="720" w:hanging="720"/>
      </w:pPr>
      <w:r>
        <w:rPr>
          <w:rFonts w:ascii="Arial" w:hAnsi="Arial" w:eastAsia="Arial" w:cs="Arial"/>
          <w:b w:val="0"/>
          <w:bCs w:val="0"/>
          <w:color w:val="1A1A1A"/>
          <w:sz w:val="19"/>
          <w:szCs w:val="19"/>
        </w:rPr>
        <w:t>[2]  Microsoft Corporation. (2025). Microsoft 365 for business — compare plans. Retrieved from https://www.microsoft.com/en-us/microsoft-365/business/compare-all-plans</w:t>
      </w:r>
    </w:p>
    <w:p w14:paraId="61C53840">
      <w:pPr>
        <w:spacing w:before="60" w:after="40"/>
        <w:ind w:left="720" w:hanging="720"/>
      </w:pPr>
      <w:r>
        <w:rPr>
          <w:rFonts w:ascii="Arial" w:hAnsi="Arial" w:eastAsia="Arial" w:cs="Arial"/>
          <w:b w:val="0"/>
          <w:bCs w:val="0"/>
          <w:color w:val="1A1A1A"/>
          <w:sz w:val="19"/>
          <w:szCs w:val="19"/>
        </w:rPr>
        <w:t>[3]  Gartner, Inc. (2024). Magic Quadrant for Collaborative Work Management. Gartner Research.</w:t>
      </w:r>
    </w:p>
    <w:p w14:paraId="0B1824D3">
      <w:pPr>
        <w:spacing w:before="60" w:after="40"/>
        <w:ind w:left="720" w:hanging="720"/>
      </w:pPr>
      <w:r>
        <w:rPr>
          <w:rFonts w:ascii="Arial" w:hAnsi="Arial" w:eastAsia="Arial" w:cs="Arial"/>
          <w:b w:val="0"/>
          <w:bCs w:val="0"/>
          <w:color w:val="1A1A1A"/>
          <w:sz w:val="19"/>
          <w:szCs w:val="19"/>
        </w:rPr>
        <w:t>[4]  Statista. (2024). Number of Microsoft 365 commercial paid seats worldwide from 2020 to 2024. Statista Digital Economy Compass.</w:t>
      </w:r>
    </w:p>
    <w:p w14:paraId="75FD3BD9">
      <w:pPr>
        <w:spacing w:before="60" w:after="40"/>
        <w:ind w:left="720" w:hanging="720"/>
      </w:pPr>
      <w:r>
        <w:rPr>
          <w:rFonts w:ascii="Arial" w:hAnsi="Arial" w:eastAsia="Arial" w:cs="Arial"/>
          <w:b w:val="0"/>
          <w:bCs w:val="0"/>
          <w:color w:val="1A1A1A"/>
          <w:sz w:val="19"/>
          <w:szCs w:val="19"/>
        </w:rPr>
        <w:t>[5]  TechRepublic. (2024, November). Google Workspace vs. Microsoft 365: Feature and pricing comparison. TechRepublic.</w:t>
      </w:r>
    </w:p>
    <w:p w14:paraId="65BEE6D9">
      <w:pPr>
        <w:spacing w:before="60" w:after="40"/>
        <w:ind w:left="720" w:hanging="720"/>
      </w:pPr>
      <w:r>
        <w:rPr>
          <w:rFonts w:ascii="Arial" w:hAnsi="Arial" w:eastAsia="Arial" w:cs="Arial"/>
          <w:b w:val="0"/>
          <w:bCs w:val="0"/>
          <w:color w:val="1A1A1A"/>
          <w:sz w:val="19"/>
          <w:szCs w:val="19"/>
        </w:rPr>
        <w:t>[6]  PCMag. (2025, January). Google Workspace vs. Microsoft 365: Which is right for your business? PCMag Reviews.</w:t>
      </w:r>
    </w:p>
    <w:p w14:paraId="5CC4E85E">
      <w:pPr>
        <w:spacing w:before="60" w:after="40"/>
        <w:ind w:left="720" w:hanging="720"/>
      </w:pPr>
      <w:r>
        <w:rPr>
          <w:rFonts w:ascii="Arial" w:hAnsi="Arial" w:eastAsia="Arial" w:cs="Arial"/>
          <w:b w:val="0"/>
          <w:bCs w:val="0"/>
          <w:color w:val="1A1A1A"/>
          <w:sz w:val="19"/>
          <w:szCs w:val="19"/>
        </w:rPr>
        <w:t>[7]  Philippine Statistics Authority (PSA). (2024). PSA Corporate Operating Budget Plan FY2024 — IT Infrastructure Report. Republic of the Philippines.</w:t>
      </w:r>
    </w:p>
    <w:p w14:paraId="29A1AF0E">
      <w:pPr>
        <w:spacing w:before="80" w:after="40"/>
      </w:pPr>
    </w:p>
    <w:p w14:paraId="7FA17B0D">
      <w:pPr>
        <w:pBdr>
          <w:bottom w:val="single" w:color="C5CAD3" w:sz="4" w:space="1"/>
        </w:pBdr>
        <w:spacing w:before="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60"/>
        <w:gridCol w:w="4860"/>
      </w:tblGrid>
      <w:tr w14:paraId="3875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nil"/>
              <w:left w:val="nil"/>
              <w:bottom w:val="nil"/>
              <w:right w:val="nil"/>
            </w:tcBorders>
            <w:tcMar>
              <w:top w:w="60" w:type="dxa"/>
              <w:left w:w="0" w:type="dxa"/>
              <w:bottom w:w="60" w:type="dxa"/>
              <w:right w:w="80" w:type="dxa"/>
            </w:tcMar>
          </w:tcPr>
          <w:p w14:paraId="0E2414D3">
            <w:r>
              <w:rPr>
                <w:rFonts w:ascii="Arial" w:hAnsi="Arial" w:eastAsia="Arial" w:cs="Arial"/>
                <w:b/>
                <w:bCs/>
                <w:color w:val="1A3558"/>
                <w:sz w:val="20"/>
                <w:szCs w:val="20"/>
              </w:rPr>
              <w:t>Prepared by:</w:t>
            </w:r>
            <w:r>
              <w:rPr>
                <w:rFonts w:ascii="Arial" w:hAnsi="Arial" w:eastAsia="Arial" w:cs="Arial"/>
                <w:b w:val="0"/>
                <w:bCs w:val="0"/>
                <w:color w:val="C5CAD3"/>
                <w:sz w:val="20"/>
                <w:szCs w:val="20"/>
              </w:rPr>
              <w:t xml:space="preserve">  ______________________________</w:t>
            </w:r>
          </w:p>
          <w:p w14:paraId="5EAAA04C">
            <w:pPr>
              <w:spacing w:before="60" w:after="20"/>
            </w:pPr>
          </w:p>
          <w:p w14:paraId="4DB6D204">
            <w:r>
              <w:rPr>
                <w:rFonts w:ascii="Arial" w:hAnsi="Arial" w:eastAsia="Arial" w:cs="Arial"/>
                <w:b/>
                <w:bCs/>
                <w:color w:val="1A1A1A"/>
                <w:sz w:val="22"/>
                <w:szCs w:val="22"/>
              </w:rPr>
              <w:t>Maria Santos</w:t>
            </w:r>
            <w:r>
              <w:rPr>
                <w:rFonts w:ascii="Arial" w:hAnsi="Arial" w:eastAsia="Arial" w:cs="Arial"/>
                <w:b w:val="0"/>
                <w:bCs w:val="0"/>
                <w:color w:val="4A5568"/>
                <w:sz w:val="22"/>
                <w:szCs w:val="22"/>
              </w:rPr>
              <w:t xml:space="preserve">  |  Administrative Officer</w:t>
            </w:r>
          </w:p>
          <w:p w14:paraId="3521B477">
            <w:r>
              <w:rPr>
                <w:rFonts w:ascii="Arial" w:hAnsi="Arial" w:eastAsia="Arial" w:cs="Arial"/>
                <w:b w:val="0"/>
                <w:bCs w:val="0"/>
                <w:color w:val="4A5568"/>
                <w:sz w:val="20"/>
                <w:szCs w:val="20"/>
              </w:rPr>
              <w:t>Operations Department</w:t>
            </w:r>
          </w:p>
          <w:p w14:paraId="0871DBD9">
            <w:r>
              <w:rPr>
                <w:rFonts w:ascii="Arial" w:hAnsi="Arial" w:eastAsia="Arial" w:cs="Arial"/>
                <w:b w:val="0"/>
                <w:bCs w:val="0"/>
                <w:color w:val="4A5568"/>
                <w:sz w:val="20"/>
                <w:szCs w:val="20"/>
              </w:rPr>
              <w:t>Northgate Solutions Inc.  |  April 14, 2025</w:t>
            </w:r>
          </w:p>
        </w:tc>
        <w:tc>
          <w:tcPr>
            <w:tcW w:w="4860" w:type="dxa"/>
            <w:tcBorders>
              <w:top w:val="nil"/>
              <w:left w:val="nil"/>
              <w:bottom w:val="nil"/>
              <w:right w:val="nil"/>
            </w:tcBorders>
            <w:tcMar>
              <w:top w:w="60" w:type="dxa"/>
              <w:left w:w="80" w:type="dxa"/>
              <w:bottom w:w="60" w:type="dxa"/>
              <w:right w:w="0" w:type="dxa"/>
            </w:tcMar>
          </w:tcPr>
          <w:p w14:paraId="38D0FBA6">
            <w:pPr>
              <w:jc w:val="right"/>
            </w:pPr>
            <w:r>
              <w:rPr>
                <w:rFonts w:ascii="Arial" w:hAnsi="Arial" w:eastAsia="Arial" w:cs="Arial"/>
                <w:b/>
                <w:bCs/>
                <w:color w:val="1A3558"/>
                <w:sz w:val="20"/>
                <w:szCs w:val="20"/>
              </w:rPr>
              <w:t>Reviewed by:</w:t>
            </w:r>
            <w:r>
              <w:rPr>
                <w:rFonts w:ascii="Arial" w:hAnsi="Arial" w:eastAsia="Arial" w:cs="Arial"/>
                <w:b w:val="0"/>
                <w:bCs w:val="0"/>
                <w:color w:val="C5CAD3"/>
                <w:sz w:val="20"/>
                <w:szCs w:val="20"/>
              </w:rPr>
              <w:t xml:space="preserve">  ______________________________</w:t>
            </w:r>
          </w:p>
          <w:p w14:paraId="781B9687">
            <w:pPr>
              <w:spacing w:before="60" w:after="20"/>
            </w:pPr>
          </w:p>
          <w:p w14:paraId="6C4C69A4">
            <w:pPr>
              <w:jc w:val="right"/>
            </w:pPr>
            <w:r>
              <w:rPr>
                <w:rFonts w:ascii="Arial" w:hAnsi="Arial" w:eastAsia="Arial" w:cs="Arial"/>
                <w:b w:val="0"/>
                <w:bCs w:val="0"/>
                <w:color w:val="4A5568"/>
                <w:sz w:val="22"/>
                <w:szCs w:val="22"/>
              </w:rPr>
              <w:t>[Name, Title]</w:t>
            </w:r>
          </w:p>
          <w:p w14:paraId="51BBE464">
            <w:pPr>
              <w:jc w:val="right"/>
            </w:pPr>
            <w:r>
              <w:rPr>
                <w:rFonts w:ascii="Arial" w:hAnsi="Arial" w:eastAsia="Arial" w:cs="Arial"/>
                <w:b w:val="0"/>
                <w:bCs w:val="0"/>
                <w:color w:val="4A5568"/>
                <w:sz w:val="20"/>
                <w:szCs w:val="20"/>
              </w:rPr>
              <w:t>Operations Department</w:t>
            </w:r>
          </w:p>
          <w:p w14:paraId="4410D733">
            <w:pPr>
              <w:jc w:val="right"/>
            </w:pPr>
            <w:r>
              <w:rPr>
                <w:rFonts w:ascii="Arial" w:hAnsi="Arial" w:eastAsia="Arial" w:cs="Arial"/>
                <w:b w:val="0"/>
                <w:bCs w:val="0"/>
                <w:color w:val="4A5568"/>
                <w:sz w:val="20"/>
                <w:szCs w:val="20"/>
              </w:rPr>
              <w:t>Date: ___________________</w:t>
            </w:r>
          </w:p>
        </w:tc>
      </w:tr>
    </w:tbl>
    <w:p w14:paraId="2DBB36EC">
      <w:pPr>
        <w:spacing w:before="40" w:after="40"/>
      </w:pPr>
    </w:p>
    <w:p w14:paraId="1BD364D4">
      <w:pPr>
        <w:jc w:val="center"/>
      </w:pPr>
      <w:r>
        <w:rPr>
          <w:rFonts w:ascii="Arial" w:hAnsi="Arial" w:eastAsia="Arial" w:cs="Arial"/>
          <w:b w:val="0"/>
          <w:bCs w:val="0"/>
          <w:color w:val="4A5568"/>
          <w:sz w:val="20"/>
          <w:szCs w:val="20"/>
        </w:rPr>
        <w:t>—  End of Report  —</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2464B">
    <w:pPr>
      <w:pBdr>
        <w:top w:val="single" w:color="C5CAD3" w:sz="4" w:space="4"/>
      </w:pBdr>
      <w:tabs>
        <w:tab w:val="center" w:pos="4860"/>
        <w:tab w:val="right" w:pos="9720"/>
      </w:tabs>
      <w:spacing w:before="80" w:after="0"/>
    </w:pPr>
    <w:r>
      <w:rPr>
        <w:rFonts w:ascii="Arial" w:hAnsi="Arial" w:eastAsia="Arial" w:cs="Arial"/>
        <w:b w:val="0"/>
        <w:bCs w:val="0"/>
        <w:color w:val="4A5568"/>
        <w:sz w:val="18"/>
        <w:szCs w:val="18"/>
      </w:rPr>
      <w:t>Northgate Solutions Inc.</w:t>
    </w:r>
    <w:r>
      <w:rPr>
        <w:rFonts w:ascii="Arial" w:hAnsi="Arial" w:eastAsia="Arial" w:cs="Arial"/>
        <w:b w:val="0"/>
        <w:bCs w:val="0"/>
        <w:color w:val="4A5568"/>
        <w:sz w:val="18"/>
        <w:szCs w:val="18"/>
      </w:rPr>
      <w:tab/>
      <w:t>Confidential — For Internal Use</w:t>
    </w:r>
    <w:r>
      <w:rPr>
        <w:rFonts w:ascii="Arial" w:hAnsi="Arial" w:eastAsia="Arial" w:cs="Arial"/>
        <w:b w:val="0"/>
        <w:bCs w:val="0"/>
        <w:color w:val="4A5568"/>
        <w:sz w:val="18"/>
        <w:szCs w:val="18"/>
      </w:rPr>
      <w:tab/>
      <w:t xml:space="preserve">Page </w:t>
    </w:r>
    <w:r>
      <w:rPr>
        <w:rFonts w:ascii="Arial" w:hAnsi="Arial" w:eastAsia="Arial" w:cs="Arial"/>
        <w:color w:val="4A5568"/>
        <w:sz w:val="18"/>
        <w:szCs w:val="18"/>
      </w:rPr>
      <w:fldChar w:fldCharType="begin"/>
    </w:r>
    <w:r>
      <w:rPr>
        <w:rFonts w:ascii="Arial" w:hAnsi="Arial" w:eastAsia="Arial" w:cs="Arial"/>
        <w:color w:val="4A5568"/>
        <w:sz w:val="18"/>
        <w:szCs w:val="18"/>
      </w:rPr>
      <w:instrText xml:space="preserve">PAGE</w:instrText>
    </w:r>
    <w:r>
      <w:rPr>
        <w:rFonts w:ascii="Arial" w:hAnsi="Arial" w:eastAsia="Arial" w:cs="Arial"/>
        <w:color w:val="4A5568"/>
        <w:sz w:val="18"/>
        <w:szCs w:val="18"/>
      </w:rPr>
      <w:fldChar w:fldCharType="separate"/>
    </w:r>
    <w:r>
      <w:rPr>
        <w:rFonts w:ascii="Arial" w:hAnsi="Arial" w:eastAsia="Arial" w:cs="Arial"/>
        <w:color w:val="4A5568"/>
        <w:sz w:val="18"/>
        <w:szCs w:val="18"/>
      </w:rPr>
      <w:fldChar w:fldCharType="end"/>
    </w:r>
    <w:r>
      <w:rPr>
        <w:rFonts w:ascii="Arial" w:hAnsi="Arial" w:eastAsia="Arial" w:cs="Arial"/>
        <w:b w:val="0"/>
        <w:bCs w:val="0"/>
        <w:color w:val="4A5568"/>
        <w:sz w:val="18"/>
        <w:szCs w:val="18"/>
      </w:rPr>
      <w:t xml:space="preserve"> of </w:t>
    </w:r>
    <w:r>
      <w:rPr>
        <w:rFonts w:ascii="Arial" w:hAnsi="Arial" w:eastAsia="Arial" w:cs="Arial"/>
        <w:color w:val="4A5568"/>
        <w:sz w:val="18"/>
        <w:szCs w:val="18"/>
      </w:rPr>
      <w:fldChar w:fldCharType="begin"/>
    </w:r>
    <w:r>
      <w:rPr>
        <w:rFonts w:ascii="Arial" w:hAnsi="Arial" w:eastAsia="Arial" w:cs="Arial"/>
        <w:color w:val="4A5568"/>
        <w:sz w:val="18"/>
        <w:szCs w:val="18"/>
      </w:rPr>
      <w:instrText xml:space="preserve">NUMPAGES</w:instrText>
    </w:r>
    <w:r>
      <w:rPr>
        <w:rFonts w:ascii="Arial" w:hAnsi="Arial" w:eastAsia="Arial" w:cs="Arial"/>
        <w:color w:val="4A5568"/>
        <w:sz w:val="18"/>
        <w:szCs w:val="18"/>
      </w:rPr>
      <w:fldChar w:fldCharType="separate"/>
    </w:r>
    <w:r>
      <w:rPr>
        <w:rFonts w:ascii="Arial" w:hAnsi="Arial" w:eastAsia="Arial" w:cs="Arial"/>
        <w:color w:val="4A556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60"/>
      <w:gridCol w:w="3960"/>
    </w:tblGrid>
    <w:tr w14:paraId="217E0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60" w:type="dxa"/>
          <w:tcBorders>
            <w:top w:val="nil"/>
            <w:left w:val="nil"/>
            <w:bottom w:val="nil"/>
            <w:right w:val="nil"/>
          </w:tcBorders>
          <w:tcMar>
            <w:top w:w="40" w:type="dxa"/>
            <w:left w:w="0" w:type="dxa"/>
            <w:bottom w:w="40" w:type="dxa"/>
            <w:right w:w="0" w:type="dxa"/>
          </w:tcMar>
          <w:vAlign w:val="center"/>
        </w:tcPr>
        <w:p w14:paraId="48FDD923">
          <w:r>
            <w:rPr>
              <w:rFonts w:ascii="Arial" w:hAnsi="Arial" w:eastAsia="Arial" w:cs="Arial"/>
              <w:b/>
              <w:bCs/>
              <w:color w:val="1A3558"/>
              <w:sz w:val="22"/>
              <w:szCs w:val="22"/>
            </w:rPr>
            <w:t>Maria Santos</w:t>
          </w:r>
          <w:r>
            <w:rPr>
              <w:rFonts w:ascii="Arial" w:hAnsi="Arial" w:eastAsia="Arial" w:cs="Arial"/>
              <w:b w:val="0"/>
              <w:bCs w:val="0"/>
              <w:color w:val="4A5568"/>
              <w:sz w:val="20"/>
              <w:szCs w:val="20"/>
            </w:rPr>
            <w:t xml:space="preserve">  |  Research &amp; Documentation Report</w:t>
          </w:r>
        </w:p>
      </w:tc>
      <w:tc>
        <w:tcPr>
          <w:tcW w:w="3960" w:type="dxa"/>
          <w:tcBorders>
            <w:top w:val="nil"/>
            <w:left w:val="nil"/>
            <w:bottom w:val="nil"/>
            <w:right w:val="nil"/>
          </w:tcBorders>
          <w:tcMar>
            <w:top w:w="40" w:type="dxa"/>
            <w:left w:w="0" w:type="dxa"/>
            <w:bottom w:w="40" w:type="dxa"/>
            <w:right w:w="0" w:type="dxa"/>
          </w:tcMar>
          <w:vAlign w:val="center"/>
        </w:tcPr>
        <w:p w14:paraId="4589F4BD">
          <w:pPr>
            <w:jc w:val="right"/>
          </w:pPr>
          <w:r>
            <w:rPr>
              <w:rFonts w:ascii="Arial" w:hAnsi="Arial" w:eastAsia="Arial" w:cs="Arial"/>
              <w:b w:val="0"/>
              <w:bCs w:val="0"/>
              <w:color w:val="2563A8"/>
              <w:sz w:val="20"/>
              <w:szCs w:val="20"/>
            </w:rPr>
            <w:t>Google Workspace vs. Microsoft 365</w:t>
          </w:r>
        </w:p>
      </w:tc>
    </w:tr>
  </w:tbl>
  <w:p w14:paraId="53D7C699">
    <w:pPr>
      <w:pBdr>
        <w:bottom w:val="single" w:color="1A3558" w:sz="8" w:space="4"/>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spacing w:before="40" w:after="40"/>
        <w:ind w:left="720" w:hanging="360"/>
      </w:pPr>
      <w:rPr>
        <w:rFonts w:ascii="Arial" w:hAnsi="Arial" w:eastAsia="Arial" w:cs="Arial"/>
        <w:color w:val="1A1A1A"/>
        <w:sz w:val="22"/>
        <w:szCs w:val="22"/>
      </w:rPr>
    </w:lvl>
    <w:lvl w:ilvl="1" w:tentative="0">
      <w:start w:val="1"/>
      <w:numFmt w:val="bullet"/>
      <w:lvlText w:val="○"/>
      <w:lvlJc w:val="left"/>
      <w:pPr>
        <w:spacing w:before="30" w:after="30"/>
        <w:ind w:left="1080" w:hanging="360"/>
      </w:pPr>
      <w:rPr>
        <w:rFonts w:ascii="Arial" w:hAnsi="Arial" w:eastAsia="Arial" w:cs="Arial"/>
        <w:color w:val="4A5568"/>
        <w:sz w:val="20"/>
        <w:szCs w:val="2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3D5337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2"/>
      <w:szCs w:val="22"/>
    </w:rPr>
  </w:style>
  <w:style w:type="paragraph" w:styleId="2">
    <w:name w:val="heading 1"/>
    <w:next w:val="1"/>
    <w:qFormat/>
    <w:uiPriority w:val="0"/>
    <w:pPr>
      <w:pBdr>
        <w:bottom w:val="single" w:color="2563A8" w:sz="8" w:space="4"/>
      </w:pBdr>
      <w:spacing w:before="280" w:after="120"/>
      <w:outlineLvl w:val="0"/>
    </w:pPr>
    <w:rPr>
      <w:rFonts w:ascii="Arial" w:hAnsi="Arial" w:eastAsia="Arial" w:cs="Arial"/>
      <w:b/>
      <w:bCs/>
      <w:color w:val="1A3558"/>
      <w:sz w:val="30"/>
      <w:szCs w:val="30"/>
    </w:rPr>
  </w:style>
  <w:style w:type="paragraph" w:styleId="3">
    <w:name w:val="heading 2"/>
    <w:next w:val="1"/>
    <w:qFormat/>
    <w:uiPriority w:val="0"/>
    <w:pPr>
      <w:spacing w:before="200" w:after="80"/>
      <w:outlineLvl w:val="1"/>
    </w:pPr>
    <w:rPr>
      <w:rFonts w:ascii="Arial" w:hAnsi="Arial" w:eastAsia="Arial" w:cs="Arial"/>
      <w:b/>
      <w:bCs/>
      <w:color w:val="2563A8"/>
      <w:sz w:val="24"/>
      <w:szCs w:val="24"/>
    </w:rPr>
  </w:style>
  <w:style w:type="paragraph" w:styleId="4">
    <w:name w:val="heading 3"/>
    <w:next w:val="1"/>
    <w:qFormat/>
    <w:uiPriority w:val="0"/>
    <w:pPr>
      <w:spacing w:before="160" w:after="60"/>
      <w:outlineLvl w:val="2"/>
    </w:pPr>
    <w:rPr>
      <w:rFonts w:ascii="Arial" w:hAnsi="Arial" w:eastAsia="Arial" w:cs="Arial"/>
      <w:b/>
      <w:bCs/>
      <w:color w:val="0F6B6B"/>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color w:val="1A1A1A"/>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color w:val="1A1A1A"/>
      <w:sz w:val="56"/>
      <w:szCs w:val="56"/>
    </w:rPr>
  </w:style>
  <w:style w:type="paragraph" w:styleId="14">
    <w:name w:val="List Paragraph"/>
    <w:qFormat/>
    <w:uiPriority w:val="0"/>
    <w:rPr>
      <w:rFonts w:ascii="Arial" w:hAnsi="Arial" w:eastAsia="Arial" w:cs="Arial"/>
      <w:color w:val="1A1A1A"/>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2071</Words>
  <Characters>13535</Characters>
  <TotalTime>0</TotalTime>
  <ScaleCrop>false</ScaleCrop>
  <LinksUpToDate>false</LinksUpToDate>
  <CharactersWithSpaces>15451</CharactersWithSpaces>
  <Application>WPS Office_12.1.0.25180_F1E327BC-269C-435d-A152-05C5408002CA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2026-03-17T01:38:00Z</dcterms:created>
  <dc:creator>Un-named</dc:creator>
  <cp:lastModifiedBy>riegn</cp:lastModifiedBy>
  <dcterms:modified xsi:type="dcterms:W3CDTF">2026-03-17T01:40:31Z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1E6C92733AFF4F36A8D41E7238219B0A_13</vt:lpwstr>
  </property>
</Properties>
</file>