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40"/>
        <w:jc w:val="center"/>
      </w:pPr>
      <w:r>
        <w:rPr>
          <w:rFonts w:ascii="Times New Roman" w:cs="Times New Roman" w:eastAsia="Times New Roman" w:hAnsi="Times New Roman"/>
          <w:b/>
          <w:bCs/>
          <w:sz w:val="56"/>
          <w:szCs w:val="56"/>
        </w:rPr>
        <w:t xml:space="preserve">BantayAralan Feasibility Study</w:t>
      </w:r>
    </w:p>
    <w:p>
      <w:pPr>
        <w:spacing w:after="480"/>
        <w:jc w:val="center"/>
      </w:pPr>
      <w:r>
        <w:rPr>
          <w:rFonts w:ascii="Times New Roman" w:cs="Times New Roman" w:eastAsia="Times New Roman" w:hAnsi="Times New Roman"/>
          <w:i/>
          <w:iCs/>
          <w:sz w:val="28"/>
          <w:szCs w:val="28"/>
        </w:rPr>
        <w:t xml:space="preserve">Real-Time Student Behavior and Classroom Orderliness System</w:t>
      </w:r>
    </w:p>
    <w:p>
      <w:pPr>
        <w:spacing w:after="80"/>
        <w:jc w:val="center"/>
      </w:pPr>
      <w:r>
        <w:rPr>
          <w:rFonts w:ascii="Times New Roman" w:cs="Times New Roman" w:eastAsia="Times New Roman" w:hAnsi="Times New Roman"/>
          <w:sz w:val="24"/>
          <w:szCs w:val="24"/>
        </w:rPr>
        <w:t xml:space="preserve">BSCpE Capstone/Thesis Project</w:t>
      </w:r>
    </w:p>
    <w:p>
      <w:pPr>
        <w:spacing w:after="480"/>
        <w:jc w:val="center"/>
      </w:pPr>
      <w:r>
        <w:rPr>
          <w:rFonts w:ascii="Times New Roman" w:cs="Times New Roman" w:eastAsia="Times New Roman" w:hAnsi="Times New Roman"/>
          <w:sz w:val="24"/>
          <w:szCs w:val="24"/>
        </w:rPr>
        <w:t xml:space="preserve">School of Engineering and Architecture, Holy Angel University</w:t>
      </w:r>
    </w:p>
    <w:p>
      <w:pPr>
        <w:spacing w:after="80"/>
        <w:jc w:val="center"/>
      </w:pPr>
      <w:r>
        <w:rPr>
          <w:rFonts w:ascii="Times New Roman" w:cs="Times New Roman" w:eastAsia="Times New Roman" w:hAnsi="Times New Roman"/>
          <w:b/>
          <w:bCs/>
          <w:sz w:val="24"/>
          <w:szCs w:val="24"/>
        </w:rPr>
        <w:t xml:space="preserve">Prepared by Team 8</w:t>
      </w:r>
    </w:p>
    <w:p>
      <w:pPr>
        <w:spacing w:after="480"/>
        <w:jc w:val="center"/>
      </w:pPr>
      <w:r>
        <w:rPr>
          <w:rFonts w:ascii="Times New Roman" w:cs="Times New Roman" w:eastAsia="Times New Roman" w:hAnsi="Times New Roman"/>
          <w:sz w:val="24"/>
          <w:szCs w:val="24"/>
        </w:rPr>
        <w:t xml:space="preserve">Chloe Lane B. Jose  •  Raynier Ronn G. Santos  •  Justin Rieko S. Tolentino</w:t>
      </w:r>
    </w:p>
    <w:p>
      <w:pPr>
        <w:spacing w:after="80"/>
        <w:jc w:val="center"/>
      </w:pPr>
      <w:r>
        <w:rPr>
          <w:rFonts w:ascii="Times New Roman" w:cs="Times New Roman" w:eastAsia="Times New Roman" w:hAnsi="Times New Roman"/>
          <w:sz w:val="24"/>
          <w:szCs w:val="24"/>
        </w:rPr>
        <w:t xml:space="preserve">Date Prepared: September 26, 2026</w:t>
      </w:r>
    </w:p>
    <w:p>
      <w:pPr>
        <w:spacing w:after="80"/>
        <w:jc w:val="center"/>
      </w:pPr>
      <w:r>
        <w:rPr>
          <w:rFonts w:ascii="Times New Roman" w:cs="Times New Roman" w:eastAsia="Times New Roman" w:hAnsi="Times New Roman"/>
          <w:i/>
          <w:iCs/>
          <w:sz w:val="24"/>
          <w:szCs w:val="24"/>
        </w:rPr>
        <w:t xml:space="preserve">Document Status: Working draft — not yet reviewed by the thesis adviser</w:t>
      </w:r>
    </w:p>
    <w:p>
      <w:pPr>
        <w:spacing w:after="1200"/>
        <w:jc w:val="center"/>
      </w:pPr>
      <w:r>
        <w:rPr>
          <w:rFonts w:ascii="Times New Roman" w:cs="Times New Roman" w:eastAsia="Times New Roman" w:hAnsi="Times New Roman"/>
          <w:color w:val="555555"/>
          <w:sz w:val="20"/>
          <w:szCs w:val="20"/>
        </w:rPr>
        <w:t xml:space="preserve">Prepared as a standalone Folder 2 deliverable referenced by DOC-CAP-FINAL-2026-008</w:t>
      </w:r>
    </w:p>
    <w:p>
      <w:pPr>
        <w:pStyle w:val="Heading2"/>
        <w:spacing w:after="160" w:before="280"/>
      </w:pPr>
      <w:r>
        <w:t xml:space="preserve">Document 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1685"/>
        <w:gridCol w:w="1872"/>
        <w:gridCol w:w="4867"/>
      </w:tblGrid>
      <w:tr>
        <w:trPr>
          <w:tblHeader/>
        </w:trPr>
        <w:tc>
          <w:tcPr>
            <w:tcW w:type="dxa" w:w="936"/>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Version</w:t>
            </w:r>
          </w:p>
        </w:tc>
        <w:tc>
          <w:tcPr>
            <w:tcW w:type="dxa" w:w="1685"/>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Date</w:t>
            </w:r>
          </w:p>
        </w:tc>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Author(s)</w:t>
            </w:r>
          </w:p>
        </w:tc>
        <w:tc>
          <w:tcPr>
            <w:tcW w:type="dxa" w:w="4867"/>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Description of Changes</w:t>
            </w:r>
          </w:p>
        </w:tc>
      </w:tr>
      <w:tr>
        <w:tc>
          <w:tcPr>
            <w:tcW w:type="dxa" w:w="93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1.0</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September 26, 2026</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Team 8</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Initial feasibility study — all 12 sections, drawn from repository inspection plus external research (RA 10173, NPC Circular 2024-02, DepEd DO 40 s.2012, PH retail pricing, published CV literature).</w:t>
            </w:r>
          </w:p>
        </w:tc>
      </w:tr>
    </w:tbl>
    <w:p>
      <w:pPr>
        <w:spacing w:after="400"/>
      </w:pPr>
    </w:p>
    <w:p>
      <w:pPr>
        <w:pStyle w:val="Heading2"/>
        <w:spacing w:after="160" w:before="280"/>
      </w:pPr>
      <w:r>
        <w:t xml:space="preserve">Approval Signatures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2246"/>
        <w:gridCol w:w="1872"/>
      </w:tblGrid>
      <w:tr>
        <w:trPr>
          <w:tblHeader/>
        </w:trPr>
        <w:tc>
          <w:tcPr>
            <w:tcW w:type="dxa" w:w="2434"/>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Name</w:t>
            </w:r>
          </w:p>
        </w:tc>
        <w:tc>
          <w:tcPr>
            <w:tcW w:type="dxa" w:w="280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Role</w:t>
            </w:r>
          </w:p>
        </w:tc>
        <w:tc>
          <w:tcPr>
            <w:tcW w:type="dxa" w:w="2246"/>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Signature</w:t>
            </w:r>
          </w:p>
        </w:tc>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Date</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Jose, Chloe Lane B.</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Student Author</w:t>
            </w:r>
          </w:p>
        </w:tc>
        <w:tc>
          <w:tcPr>
            <w:tcW w:type="dxa" w:w="2246"/>
            <w:tcMar>
              <w:top w:type="dxa" w:w="60"/>
              <w:left w:type="dxa" w:w="100"/>
              <w:bottom w:type="dxa" w:w="60"/>
              <w:right w:type="dxa" w:w="100"/>
            </w:tcMar>
            <w:vAlign w:val="top"/>
          </w:tcPr>
          <w:p>
            <w:pPr>
              <w:spacing w:after="60" w:line="240"/>
            </w:pPr>
          </w:p>
        </w:tc>
        <w:tc>
          <w:tcPr>
            <w:tcW w:type="dxa" w:w="1872"/>
            <w:tcMar>
              <w:top w:type="dxa" w:w="60"/>
              <w:left w:type="dxa" w:w="100"/>
              <w:bottom w:type="dxa" w:w="60"/>
              <w:right w:type="dxa" w:w="100"/>
            </w:tcMar>
            <w:vAlign w:val="top"/>
          </w:tcPr>
          <w:p>
            <w:pPr>
              <w:spacing w:after="60" w:line="240"/>
            </w:pP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Santos, Raynier Ronn G.</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Student Author</w:t>
            </w:r>
          </w:p>
        </w:tc>
        <w:tc>
          <w:tcPr>
            <w:tcW w:type="dxa" w:w="2246"/>
            <w:tcMar>
              <w:top w:type="dxa" w:w="60"/>
              <w:left w:type="dxa" w:w="100"/>
              <w:bottom w:type="dxa" w:w="60"/>
              <w:right w:type="dxa" w:w="100"/>
            </w:tcMar>
            <w:vAlign w:val="top"/>
          </w:tcPr>
          <w:p>
            <w:pPr>
              <w:spacing w:after="60" w:line="240"/>
            </w:pPr>
          </w:p>
        </w:tc>
        <w:tc>
          <w:tcPr>
            <w:tcW w:type="dxa" w:w="1872"/>
            <w:tcMar>
              <w:top w:type="dxa" w:w="60"/>
              <w:left w:type="dxa" w:w="100"/>
              <w:bottom w:type="dxa" w:w="60"/>
              <w:right w:type="dxa" w:w="100"/>
            </w:tcMar>
            <w:vAlign w:val="top"/>
          </w:tcPr>
          <w:p>
            <w:pPr>
              <w:spacing w:after="60" w:line="240"/>
            </w:pP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Tolentino, Justin Rieko S.</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Student Author</w:t>
            </w:r>
          </w:p>
        </w:tc>
        <w:tc>
          <w:tcPr>
            <w:tcW w:type="dxa" w:w="2246"/>
            <w:tcMar>
              <w:top w:type="dxa" w:w="60"/>
              <w:left w:type="dxa" w:w="100"/>
              <w:bottom w:type="dxa" w:w="60"/>
              <w:right w:type="dxa" w:w="100"/>
            </w:tcMar>
            <w:vAlign w:val="top"/>
          </w:tcPr>
          <w:p>
            <w:pPr>
              <w:spacing w:after="60" w:line="240"/>
            </w:pPr>
          </w:p>
        </w:tc>
        <w:tc>
          <w:tcPr>
            <w:tcW w:type="dxa" w:w="1872"/>
            <w:tcMar>
              <w:top w:type="dxa" w:w="60"/>
              <w:left w:type="dxa" w:w="100"/>
              <w:bottom w:type="dxa" w:w="60"/>
              <w:right w:type="dxa" w:w="100"/>
            </w:tcMar>
            <w:vAlign w:val="top"/>
          </w:tcPr>
          <w:p>
            <w:pPr>
              <w:spacing w:after="60" w:line="240"/>
            </w:pP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[Name]</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Technical Reviewer / Project Manager</w:t>
            </w:r>
          </w:p>
        </w:tc>
        <w:tc>
          <w:tcPr>
            <w:tcW w:type="dxa" w:w="2246"/>
            <w:tcMar>
              <w:top w:type="dxa" w:w="60"/>
              <w:left w:type="dxa" w:w="100"/>
              <w:bottom w:type="dxa" w:w="60"/>
              <w:right w:type="dxa" w:w="100"/>
            </w:tcMar>
            <w:vAlign w:val="top"/>
          </w:tcPr>
          <w:p>
            <w:pPr>
              <w:spacing w:after="60" w:line="240"/>
            </w:pPr>
          </w:p>
        </w:tc>
        <w:tc>
          <w:tcPr>
            <w:tcW w:type="dxa" w:w="1872"/>
            <w:tcMar>
              <w:top w:type="dxa" w:w="60"/>
              <w:left w:type="dxa" w:w="100"/>
              <w:bottom w:type="dxa" w:w="60"/>
              <w:right w:type="dxa" w:w="100"/>
            </w:tcMar>
            <w:vAlign w:val="top"/>
          </w:tcPr>
          <w:p>
            <w:pPr>
              <w:spacing w:after="60" w:line="240"/>
            </w:pP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[Name]</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Academic Adviser</w:t>
            </w:r>
          </w:p>
        </w:tc>
        <w:tc>
          <w:tcPr>
            <w:tcW w:type="dxa" w:w="2246"/>
            <w:tcMar>
              <w:top w:type="dxa" w:w="60"/>
              <w:left w:type="dxa" w:w="100"/>
              <w:bottom w:type="dxa" w:w="60"/>
              <w:right w:type="dxa" w:w="100"/>
            </w:tcMar>
            <w:vAlign w:val="top"/>
          </w:tcPr>
          <w:p>
            <w:pPr>
              <w:spacing w:after="60" w:line="240"/>
            </w:pPr>
          </w:p>
        </w:tc>
        <w:tc>
          <w:tcPr>
            <w:tcW w:type="dxa" w:w="1872"/>
            <w:tcMar>
              <w:top w:type="dxa" w:w="60"/>
              <w:left w:type="dxa" w:w="100"/>
              <w:bottom w:type="dxa" w:w="60"/>
              <w:right w:type="dxa" w:w="100"/>
            </w:tcMar>
            <w:vAlign w:val="top"/>
          </w:tcPr>
          <w:p>
            <w:pPr>
              <w:spacing w:after="60" w:line="240"/>
            </w:pPr>
          </w:p>
        </w:tc>
      </w:tr>
    </w:tbl>
    <w:p>
      <w:r>
        <w:br w:type="page"/>
      </w:r>
    </w:p>
    <w:p>
      <w:pPr>
        <w:pStyle w:val="Heading1"/>
        <w:spacing w:after="200" w:before="360"/>
      </w:pPr>
      <w:r>
        <w:t xml:space="preserve">How to Read This Document</w:t>
      </w:r>
    </w:p>
    <w:p>
      <w:pPr>
        <w:spacing w:after="160" w:line="276"/>
        <w:jc w:val="both"/>
      </w:pPr>
      <w:r>
        <w:rPr>
          <w:rFonts w:ascii="Times New Roman" w:cs="Times New Roman" w:eastAsia="Times New Roman" w:hAnsi="Times New Roman"/>
          <w:b w:val="false"/>
          <w:bCs w:val="false"/>
          <w:i w:val="false"/>
          <w:iCs w:val="false"/>
          <w:sz w:val="24"/>
          <w:szCs w:val="24"/>
        </w:rPr>
        <w:t xml:space="preserve">This feasibility study follows the status labels used throughout the project's internal knowledge base and technical documentation: </w:t>
      </w:r>
      <w:r>
        <w:rPr>
          <w:rFonts w:ascii="Times New Roman" w:cs="Times New Roman" w:eastAsia="Times New Roman" w:hAnsi="Times New Roman"/>
          <w:b/>
          <w:bCs/>
          <w:i w:val="false"/>
          <w:iCs w:val="false"/>
          <w:sz w:val="24"/>
          <w:szCs w:val="24"/>
        </w:rPr>
        <w:t xml:space="preserve">Implemented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Partially implemented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Planned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Proposal requirement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Expected by current working draft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Not yet implemented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Under consideration</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Unclear</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Deprecated</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bCs/>
          <w:i w:val="false"/>
          <w:iCs w:val="false"/>
          <w:sz w:val="24"/>
          <w:szCs w:val="24"/>
        </w:rPr>
        <w:t xml:space="preserve">Changed from proposal</w:t>
      </w:r>
      <w:r>
        <w:rPr>
          <w:rFonts w:ascii="Times New Roman" w:cs="Times New Roman" w:eastAsia="Times New Roman" w:hAnsi="Times New Roman"/>
          <w:b w:val="false"/>
          <w:bCs w:val="false"/>
          <w:i w:val="false"/>
          <w:iCs w:val="false"/>
          <w:sz w:val="24"/>
          <w:szCs w:val="24"/>
        </w:rPr>
        <w:t xml:space="preserve">. A status label is attached to every material claim below.</w:t>
      </w:r>
    </w:p>
    <w:p>
      <w:pPr>
        <w:spacing w:after="160" w:line="276"/>
        <w:jc w:val="both"/>
      </w:pPr>
      <w:r>
        <w:rPr>
          <w:rFonts w:ascii="Times New Roman" w:cs="Times New Roman" w:eastAsia="Times New Roman" w:hAnsi="Times New Roman"/>
          <w:b w:val="false"/>
          <w:bCs w:val="false"/>
          <w:i w:val="false"/>
          <w:iCs w:val="false"/>
          <w:sz w:val="24"/>
          <w:szCs w:val="24"/>
        </w:rPr>
        <w:t xml:space="preserve">This document is a working draft, has not been reviewed by the thesis adviser, and is not legal advice — Section 6 in particular should be validated with the university's legal/ethics office and the adviser before any classroom deployment.</w:t>
      </w:r>
    </w:p>
    <w:p>
      <w:r>
        <w:br w:type="page"/>
      </w:r>
    </w:p>
    <w:p>
      <w:pPr>
        <w:pStyle w:val="Heading1"/>
        <w:spacing w:after="200" w:before="36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360"/>
      </w:pPr>
      <w:r>
        <w:t xml:space="preserve">1. Project / Executive Overview</w:t>
      </w:r>
    </w:p>
    <w:p>
      <w:pPr>
        <w:pStyle w:val="Heading2"/>
        <w:spacing w:after="160" w:before="280"/>
      </w:pPr>
      <w:r>
        <w:t xml:space="preserve">1.1 What BantayAralan Is</w:t>
      </w:r>
    </w:p>
    <w:p>
      <w:pPr>
        <w:spacing w:after="160" w:line="276"/>
        <w:jc w:val="both"/>
      </w:pPr>
      <w:r>
        <w:rPr>
          <w:rFonts w:ascii="Times New Roman" w:cs="Times New Roman" w:eastAsia="Times New Roman" w:hAnsi="Times New Roman"/>
          <w:b w:val="false"/>
          <w:bCs w:val="false"/>
          <w:i w:val="false"/>
          <w:iCs w:val="false"/>
          <w:sz w:val="24"/>
          <w:szCs w:val="24"/>
        </w:rPr>
        <w:t xml:space="preserve">BantayAralan is a proposed computer-vision system intended to help a classroom teacher notice, log, and review two categories of condition without watching the room continuously: </w:t>
      </w:r>
      <w:r>
        <w:rPr>
          <w:rFonts w:ascii="Times New Roman" w:cs="Times New Roman" w:eastAsia="Times New Roman" w:hAnsi="Times New Roman"/>
          <w:b/>
          <w:bCs/>
          <w:i w:val="false"/>
          <w:iCs w:val="false"/>
          <w:sz w:val="24"/>
          <w:szCs w:val="24"/>
        </w:rPr>
        <w:t xml:space="preserve">disruptive student behavior</w:t>
      </w:r>
      <w:r>
        <w:rPr>
          <w:rFonts w:ascii="Times New Roman" w:cs="Times New Roman" w:eastAsia="Times New Roman" w:hAnsi="Times New Roman"/>
          <w:b w:val="false"/>
          <w:bCs w:val="false"/>
          <w:i w:val="false"/>
          <w:iCs w:val="false"/>
          <w:sz w:val="24"/>
          <w:szCs w:val="24"/>
        </w:rPr>
        <w:t xml:space="preserve"> (e.g., standing) and </w:t>
      </w:r>
      <w:r>
        <w:rPr>
          <w:rFonts w:ascii="Times New Roman" w:cs="Times New Roman" w:eastAsia="Times New Roman" w:hAnsi="Times New Roman"/>
          <w:b/>
          <w:bCs/>
          <w:i w:val="false"/>
          <w:iCs w:val="false"/>
          <w:sz w:val="24"/>
          <w:szCs w:val="24"/>
        </w:rPr>
        <w:t xml:space="preserve">classroom disorder</w:t>
      </w:r>
      <w:r>
        <w:rPr>
          <w:rFonts w:ascii="Times New Roman" w:cs="Times New Roman" w:eastAsia="Times New Roman" w:hAnsi="Times New Roman"/>
          <w:b w:val="false"/>
          <w:bCs w:val="false"/>
          <w:i w:val="false"/>
          <w:iCs w:val="false"/>
          <w:sz w:val="24"/>
          <w:szCs w:val="24"/>
        </w:rPr>
        <w:t xml:space="preserve"> (out-of-place objects/clutter and misaligned seats or desks). Detected conditions are meant to become timestamped </w:t>
      </w:r>
      <w:r>
        <w:rPr>
          <w:rFonts w:ascii="Times New Roman" w:cs="Times New Roman" w:eastAsia="Times New Roman" w:hAnsi="Times New Roman"/>
          <w:b/>
          <w:bCs/>
          <w:i w:val="false"/>
          <w:iCs w:val="false"/>
          <w:sz w:val="24"/>
          <w:szCs w:val="24"/>
        </w:rPr>
        <w:t xml:space="preserve">events</w:t>
      </w:r>
      <w:r>
        <w:rPr>
          <w:rFonts w:ascii="Times New Roman" w:cs="Times New Roman" w:eastAsia="Times New Roman" w:hAnsi="Times New Roman"/>
          <w:b w:val="false"/>
          <w:bCs w:val="false"/>
          <w:i w:val="false"/>
          <w:iCs w:val="false"/>
          <w:sz w:val="24"/>
          <w:szCs w:val="24"/>
        </w:rPr>
        <w:t xml:space="preserve"> with optional screenshot/video evidence, reviewable by the teacher — not real-time alarms, and not an automated disciplinary system (</w:t>
      </w:r>
      <w:r>
        <w:rPr>
          <w:rFonts w:ascii="Times New Roman" w:cs="Times New Roman" w:eastAsia="Times New Roman" w:hAnsi="Times New Roman"/>
          <w:b w:val="false"/>
          <w:bCs w:val="false"/>
          <w:i/>
          <w:iCs/>
          <w:sz w:val="24"/>
          <w:szCs w:val="24"/>
        </w:rPr>
        <w:t xml:space="preserve">Status: Proposal requirement / Expected by current working draft</w:t>
      </w:r>
      <w:r>
        <w:rPr>
          <w:rFonts w:ascii="Times New Roman" w:cs="Times New Roman" w:eastAsia="Times New Roman" w:hAnsi="Times New Roman"/>
          <w:b w:val="false"/>
          <w:bCs w:val="false"/>
          <w:i w:val="false"/>
          <w:iCs w:val="false"/>
          <w:sz w:val="24"/>
          <w:szCs w:val="24"/>
        </w:rPr>
        <w:t xml:space="preserve">).</w:t>
      </w:r>
    </w:p>
    <w:p>
      <w:pPr>
        <w:spacing w:after="160" w:line="276"/>
        <w:jc w:val="both"/>
      </w:pPr>
      <w:r>
        <w:rPr>
          <w:rFonts w:ascii="Times New Roman" w:cs="Times New Roman" w:eastAsia="Times New Roman" w:hAnsi="Times New Roman"/>
          <w:b w:val="false"/>
          <w:bCs w:val="false"/>
          <w:i w:val="false"/>
          <w:iCs w:val="false"/>
          <w:sz w:val="24"/>
          <w:szCs w:val="24"/>
        </w:rPr>
        <w:t xml:space="preserve">A companion aggregate </w:t>
      </w:r>
      <w:r>
        <w:rPr>
          <w:rFonts w:ascii="Times New Roman" w:cs="Times New Roman" w:eastAsia="Times New Roman" w:hAnsi="Times New Roman"/>
          <w:b/>
          <w:bCs/>
          <w:i w:val="false"/>
          <w:iCs w:val="false"/>
          <w:sz w:val="24"/>
          <w:szCs w:val="24"/>
        </w:rPr>
        <w:t xml:space="preserve">head-count</w:t>
      </w:r>
      <w:r>
        <w:rPr>
          <w:rFonts w:ascii="Times New Roman" w:cs="Times New Roman" w:eastAsia="Times New Roman" w:hAnsi="Times New Roman"/>
          <w:b w:val="false"/>
          <w:bCs w:val="false"/>
          <w:i w:val="false"/>
          <w:iCs w:val="false"/>
          <w:sz w:val="24"/>
          <w:szCs w:val="24"/>
        </w:rPr>
        <w:t xml:space="preserve"> feature (beginning-of-class and near-end-of-class student counts, not per-student attendance) and a </w:t>
      </w:r>
      <w:r>
        <w:rPr>
          <w:rFonts w:ascii="Times New Roman" w:cs="Times New Roman" w:eastAsia="Times New Roman" w:hAnsi="Times New Roman"/>
          <w:b/>
          <w:bCs/>
          <w:i w:val="false"/>
          <w:iCs w:val="false"/>
          <w:sz w:val="24"/>
          <w:szCs w:val="24"/>
        </w:rPr>
        <w:t xml:space="preserve">Detection Enable/Disable</w:t>
      </w:r>
      <w:r>
        <w:rPr>
          <w:rFonts w:ascii="Times New Roman" w:cs="Times New Roman" w:eastAsia="Times New Roman" w:hAnsi="Times New Roman"/>
          <w:b w:val="false"/>
          <w:bCs w:val="false"/>
          <w:i w:val="false"/>
          <w:iCs w:val="false"/>
          <w:sz w:val="24"/>
          <w:szCs w:val="24"/>
        </w:rPr>
        <w:t xml:space="preserve"> control were added in a later, not-yet-adviser-reviewed prototype paper revision (</w:t>
      </w:r>
      <w:r>
        <w:rPr>
          <w:rFonts w:ascii="Times New Roman" w:cs="Times New Roman" w:eastAsia="Times New Roman" w:hAnsi="Times New Roman"/>
          <w:b w:val="false"/>
          <w:bCs w:val="false"/>
          <w:i/>
          <w:iCs/>
          <w:sz w:val="24"/>
          <w:szCs w:val="24"/>
        </w:rPr>
        <w:t xml:space="preserve">Status: Changed from proposal</w:t>
      </w:r>
      <w:r>
        <w:rPr>
          <w:rFonts w:ascii="Times New Roman" w:cs="Times New Roman" w:eastAsia="Times New Roman" w:hAnsi="Times New Roman"/>
          <w:b w:val="false"/>
          <w:bCs w:val="false"/>
          <w:i w:val="false"/>
          <w:iCs w:val="false"/>
          <w:sz w:val="24"/>
          <w:szCs w:val="24"/>
        </w:rPr>
        <w:t xml:space="preserve">).</w:t>
      </w:r>
    </w:p>
    <w:p>
      <w:pPr>
        <w:pStyle w:val="Heading2"/>
        <w:spacing w:after="160" w:before="280"/>
      </w:pPr>
      <w:r>
        <w:t xml:space="preserve">1.2 What Currently Exists in the Repository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3744"/>
        <w:gridCol w:w="2434"/>
      </w:tblGrid>
      <w:tr>
        <w:trPr>
          <w:tblHeader/>
        </w:trPr>
        <w:tc>
          <w:tcPr>
            <w:tcW w:type="dxa" w:w="318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Component</w:t>
            </w:r>
          </w:p>
        </w:tc>
        <w:tc>
          <w:tcPr>
            <w:tcW w:type="dxa" w:w="3744"/>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Status</w:t>
            </w:r>
          </w:p>
        </w:tc>
        <w:tc>
          <w:tcPr>
            <w:tcW w:type="dxa" w:w="2434"/>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Where</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Admin web application (Dashboard, Events &amp; Logs, Event Detail, Head Count, Insights &amp; Statistics)</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 (mock/synthetic data; Flask + vanilla JS)</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admin-ui/</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Automated head-count scheduler (background trigger + storage)</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 (trigger/storage/status logic real; the captured count value is a placeholder random integer)</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admin-ui/backend/scheduler.py</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Detection Enable/Disable toggle</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 (persists a flag; no detector exists yet for it to gate)</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admin-ui/backend/app.py; detection_state table</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Statistics / Classroom Insights / Suggestions</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 (real SQL aggregation and simple rule-based thresholds over seeded mock events — not a validated analytical model)</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admin-ui/backend/app.py</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 capture, YOLOv8 detection, ByteTrack tracking, behavior/alignment logic</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source code exists anywhere in this repository</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event creation from a detector</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all 42 seeded events are synthetic</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screenshot/video evidence capture</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 (UI simulates both)</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admin-ui/frontend/js/views/eventDetail.js</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CV dataset/labeling proof-of-concept</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Planned / in progress (7 source photos, no-code labeling tool, no accuracy numbers yet)</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detection/, dataset/</w:t>
            </w:r>
          </w:p>
        </w:tc>
      </w:tr>
      <w:tr>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Native desktop admin UI (PySide6)</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Deprecated — removed 2026-09-23 in favor of the web application</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historical only</w:t>
            </w:r>
          </w:p>
        </w:tc>
      </w:tr>
    </w:tbl>
    <w:p>
      <w:pPr>
        <w:spacing w:after="200"/>
      </w:pPr>
    </w:p>
    <w:p>
      <w:pPr>
        <w:spacing w:after="160" w:line="276"/>
        <w:jc w:val="both"/>
      </w:pPr>
      <w:r>
        <w:rPr>
          <w:rFonts w:ascii="Times New Roman" w:cs="Times New Roman" w:eastAsia="Times New Roman" w:hAnsi="Times New Roman"/>
          <w:b w:val="false"/>
          <w:bCs w:val="false"/>
          <w:i w:val="false"/>
          <w:iCs w:val="false"/>
          <w:sz w:val="24"/>
          <w:szCs w:val="24"/>
        </w:rPr>
        <w:t xml:space="preserve">This table is the single most important fact this study relies on: </w:t>
      </w:r>
      <w:r>
        <w:rPr>
          <w:rFonts w:ascii="Times New Roman" w:cs="Times New Roman" w:eastAsia="Times New Roman" w:hAnsi="Times New Roman"/>
          <w:b/>
          <w:bCs/>
          <w:i w:val="false"/>
          <w:iCs w:val="false"/>
          <w:sz w:val="24"/>
          <w:szCs w:val="24"/>
        </w:rPr>
        <w:t xml:space="preserve">the reviewable admin interface is real and running against synthetic data; the computer-vision detection layer that would make its data real does not exist as code anywhere in this repository.</w:t>
      </w:r>
      <w:r>
        <w:rPr>
          <w:rFonts w:ascii="Times New Roman" w:cs="Times New Roman" w:eastAsia="Times New Roman" w:hAnsi="Times New Roman"/>
          <w:b w:val="false"/>
          <w:bCs w:val="false"/>
          <w:i w:val="false"/>
          <w:iCs w:val="false"/>
          <w:sz w:val="24"/>
          <w:szCs w:val="24"/>
        </w:rPr>
        <w:t xml:space="preserve"> Every section below treats these as two separate feasibility questions, not one.</w:t>
      </w:r>
    </w:p>
    <w:p>
      <w:pPr>
        <w:pStyle w:val="Heading2"/>
        <w:spacing w:after="160" w:before="280"/>
      </w:pPr>
      <w:r>
        <w:t xml:space="preserve">1.3 Document Scope and Authority</w:t>
      </w:r>
    </w:p>
    <w:p>
      <w:pPr>
        <w:spacing w:after="160" w:line="276"/>
        <w:jc w:val="both"/>
      </w:pPr>
      <w:r>
        <w:rPr>
          <w:rFonts w:ascii="Times New Roman" w:cs="Times New Roman" w:eastAsia="Times New Roman" w:hAnsi="Times New Roman"/>
          <w:b w:val="false"/>
          <w:bCs w:val="false"/>
          <w:i w:val="false"/>
          <w:iCs w:val="false"/>
          <w:sz w:val="24"/>
          <w:szCs w:val="24"/>
        </w:rPr>
        <w:t xml:space="preserve">This study synthesizes what is documented in the BantayAralan repository as of 2026-09-26: the working-draft research proposal (dated March 29, 2026), the revised, not-yet-adviser-reviewed prototype paper, the project's internal knowledge base, the admin-ui and detection source trees, and the capstone architecture master document (DOC-CAP-FINAL-2026-008, issued 2026-09-26), which itself lists a Feasibility Study as one of the standalone documents still to be compiled for the final submission package — this document is that deliverable.</w:t>
      </w:r>
    </w:p>
    <w:p>
      <w:pPr>
        <w:spacing w:after="160" w:line="276"/>
        <w:jc w:val="both"/>
      </w:pPr>
      <w:r>
        <w:rPr>
          <w:rFonts w:ascii="Times New Roman" w:cs="Times New Roman" w:eastAsia="Times New Roman" w:hAnsi="Times New Roman"/>
          <w:b w:val="false"/>
          <w:bCs w:val="false"/>
          <w:i w:val="false"/>
          <w:iCs w:val="false"/>
          <w:sz w:val="24"/>
          <w:szCs w:val="24"/>
        </w:rPr>
        <w:t xml:space="preserve">Where these sources disagree, both positions are stated rather than silently resolved (see Section 10). This is a feasibility analysis of the proposal/working-draft direction, not a legal opinion, not an adviser-approved plan, and not a claim that any part of the detection pipeline has been built or tested.</w:t>
      </w:r>
    </w:p>
    <w:p>
      <w:pPr>
        <w:pStyle w:val="Heading2"/>
        <w:spacing w:after="160" w:before="280"/>
      </w:pPr>
      <w:r>
        <w:t xml:space="preserve">1.4 Stakeholders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995"/>
        <w:gridCol w:w="4119"/>
      </w:tblGrid>
      <w:tr>
        <w:trPr>
          <w:tblHeader/>
        </w:trPr>
        <w:tc>
          <w:tcPr>
            <w:tcW w:type="dxa" w:w="2246"/>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Category</w:t>
            </w:r>
          </w:p>
        </w:tc>
        <w:tc>
          <w:tcPr>
            <w:tcW w:type="dxa" w:w="2995"/>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Who</w:t>
            </w:r>
          </w:p>
        </w:tc>
        <w:tc>
          <w:tcPr>
            <w:tcW w:type="dxa" w:w="4119"/>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Role in the System</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Direct user</w:t>
            </w:r>
          </w:p>
        </w:tc>
        <w:tc>
          <w:tcPr>
            <w:tcW w:type="dxa" w:w="299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The classroom teacher</w:t>
            </w:r>
          </w:p>
        </w:tc>
        <w:tc>
          <w:tcPr>
            <w:tcW w:type="dxa" w:w="411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Views the Dashboard/Events/Head Count/Insights screens; the human-in-the-loop decision-maker for every logged event</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Beneficiaries</w:t>
            </w:r>
          </w:p>
        </w:tc>
        <w:tc>
          <w:tcPr>
            <w:tcW w:type="dxa" w:w="299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Students in the monitored classroom</w:t>
            </w:r>
          </w:p>
        </w:tc>
        <w:tc>
          <w:tcPr>
            <w:tcW w:type="dxa" w:w="411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Benefit from a (intended) cleaner, less disrupted learning environment; also the subjects of aggregate, non-identifying detection</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Beneficiaries</w:t>
            </w:r>
          </w:p>
        </w:tc>
        <w:tc>
          <w:tcPr>
            <w:tcW w:type="dxa" w:w="299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The school administration</w:t>
            </w:r>
          </w:p>
        </w:tc>
        <w:tc>
          <w:tcPr>
            <w:tcW w:type="dxa" w:w="411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Benefit from classroom-condition visibility without needing to staff continuous human observation</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Stakeholders</w:t>
            </w:r>
          </w:p>
        </w:tc>
        <w:tc>
          <w:tcPr>
            <w:tcW w:type="dxa" w:w="299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Parents/guardians</w:t>
            </w:r>
          </w:p>
        </w:tc>
        <w:tc>
          <w:tcPr>
            <w:tcW w:type="dxa" w:w="411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Have a data-privacy interest in any classroom camera capturing their child, even without identification — see Section 6</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Stakeholders</w:t>
            </w:r>
          </w:p>
        </w:tc>
        <w:tc>
          <w:tcPr>
            <w:tcW w:type="dxa" w:w="299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The thesis adviser and Holy Angel University</w:t>
            </w:r>
          </w:p>
        </w:tc>
        <w:tc>
          <w:tcPr>
            <w:tcW w:type="dxa" w:w="411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Own the academic evaluation of the proposal and have not yet reviewed the current working direction</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Potential future adopters</w:t>
            </w:r>
          </w:p>
        </w:tc>
        <w:tc>
          <w:tcPr>
            <w:tcW w:type="dxa" w:w="299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Other classrooms/schools, if the prototype is generalized</w:t>
            </w:r>
          </w:p>
        </w:tc>
        <w:tc>
          <w:tcPr>
            <w:tcW w:type="dxa" w:w="411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evaluated in this repository — see Section 2</w:t>
            </w:r>
          </w:p>
        </w:tc>
      </w:tr>
    </w:tbl>
    <w:p>
      <w:r>
        <w:br w:type="page"/>
      </w:r>
    </w:p>
    <w:p>
      <w:pPr>
        <w:pStyle w:val="Heading1"/>
        <w:spacing w:after="200" w:before="360"/>
      </w:pPr>
      <w:r>
        <w:t xml:space="preserve">2. Market / User / Need Feasibility</w:t>
      </w:r>
    </w:p>
    <w:p>
      <w:pPr>
        <w:spacing w:after="160" w:line="276"/>
        <w:jc w:val="both"/>
      </w:pPr>
      <w:r>
        <w:rPr>
          <w:rFonts w:ascii="Times New Roman" w:cs="Times New Roman" w:eastAsia="Times New Roman" w:hAnsi="Times New Roman"/>
          <w:b w:val="false"/>
          <w:bCs w:val="false"/>
          <w:i w:val="false"/>
          <w:iCs w:val="false"/>
          <w:sz w:val="24"/>
          <w:szCs w:val="24"/>
        </w:rPr>
        <w:t xml:space="preserve">BantayAralan is an academic capstone prototype for a single classroom, not a commercial product with a market to size. This section therefore assesses </w:t>
      </w:r>
      <w:r>
        <w:rPr>
          <w:rFonts w:ascii="Times New Roman" w:cs="Times New Roman" w:eastAsia="Times New Roman" w:hAnsi="Times New Roman"/>
          <w:b/>
          <w:bCs/>
          <w:i w:val="false"/>
          <w:iCs w:val="false"/>
          <w:sz w:val="24"/>
          <w:szCs w:val="24"/>
        </w:rPr>
        <w:t xml:space="preserve">need and adoption context</w:t>
      </w:r>
      <w:r>
        <w:rPr>
          <w:rFonts w:ascii="Times New Roman" w:cs="Times New Roman" w:eastAsia="Times New Roman" w:hAnsi="Times New Roman"/>
          <w:b w:val="false"/>
          <w:bCs w:val="false"/>
          <w:i w:val="false"/>
          <w:iCs w:val="false"/>
          <w:sz w:val="24"/>
          <w:szCs w:val="24"/>
        </w:rPr>
        <w:t xml:space="preserve">, not market share, revenue potential, or user counts — no figures of that kind are asserted anywhere below unless a specific source is cited.</w:t>
      </w:r>
    </w:p>
    <w:p>
      <w:pPr>
        <w:pStyle w:val="Heading2"/>
        <w:spacing w:after="160" w:before="280"/>
      </w:pPr>
      <w:r>
        <w:t xml:space="preserve">2.1 The Problem Being Addressed</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proposal's own cited literature frames two linked classroom-management burdens on teachers: monitoring student behavior while teaching, and maintaining a clean, orderly classroom. Cited studies report that classroom-management difficulty (handling disruptive behavior specifically) is a common, ongoing challenge for teachers, and that classroom cleanliness/orderliness is linked to student engagement and academic performance (Ćali, Lazimi, &amp; Ippoliti, 2024; Dilabayan &amp; Sambo, 2024; Hamidi et al., 2024; Reyes et al., 2024). </w:t>
      </w:r>
      <w:r>
        <w:rPr>
          <w:rFonts w:ascii="Times New Roman" w:cs="Times New Roman" w:eastAsia="Times New Roman" w:hAnsi="Times New Roman"/>
          <w:b w:val="false"/>
          <w:bCs w:val="false"/>
          <w:i/>
          <w:iCs/>
          <w:sz w:val="24"/>
          <w:szCs w:val="24"/>
        </w:rPr>
        <w:t xml:space="preserve">Status: Proposal requirement</w:t>
      </w:r>
      <w:r>
        <w:rPr>
          <w:rFonts w:ascii="Times New Roman" w:cs="Times New Roman" w:eastAsia="Times New Roman" w:hAnsi="Times New Roman"/>
          <w:b w:val="false"/>
          <w:bCs w:val="false"/>
          <w:i w:val="false"/>
          <w:iCs w:val="false"/>
          <w:sz w:val="24"/>
          <w:szCs w:val="24"/>
        </w:rPr>
        <w:t xml:space="preserve"> — these are the cited motivating problems, not measurements this project has independently collected; no pre-implementation teacher survey has been run in this repository yet (</w:t>
      </w:r>
      <w:r>
        <w:rPr>
          <w:rFonts w:ascii="Times New Roman" w:cs="Times New Roman" w:eastAsia="Times New Roman" w:hAnsi="Times New Roman"/>
          <w:b w:val="false"/>
          <w:bCs w:val="false"/>
          <w:i/>
          <w:iCs/>
          <w:sz w:val="24"/>
          <w:szCs w:val="24"/>
        </w:rPr>
        <w:t xml:space="preserve">Status: Not yet implemented</w:t>
      </w:r>
      <w:r>
        <w:rPr>
          <w:rFonts w:ascii="Times New Roman" w:cs="Times New Roman" w:eastAsia="Times New Roman" w:hAnsi="Times New Roman"/>
          <w:b w:val="false"/>
          <w:bCs w:val="false"/>
          <w:i w:val="false"/>
          <w:iCs w:val="false"/>
          <w:sz w:val="24"/>
          <w:szCs w:val="24"/>
        </w:rPr>
        <w:t xml:space="preserve">).</w:t>
      </w:r>
    </w:p>
    <w:p>
      <w:pPr>
        <w:spacing w:after="160" w:line="276"/>
        <w:jc w:val="both"/>
      </w:pPr>
      <w:r>
        <w:rPr>
          <w:rFonts w:ascii="Times New Roman" w:cs="Times New Roman" w:eastAsia="Times New Roman" w:hAnsi="Times New Roman"/>
          <w:b w:val="false"/>
          <w:bCs w:val="false"/>
          <w:i w:val="false"/>
          <w:iCs w:val="false"/>
          <w:sz w:val="24"/>
          <w:szCs w:val="24"/>
        </w:rPr>
        <w:t xml:space="preserve">A separately cited context: Philippine teachers report administrative and non-teaching burdens (e.g., paperwork) competing for their attention during class time (Magsambol, 2025), which is consistent with, though not direct evidence for, the proposal's framing that continuous manual behavior/clutter monitoring is costly for a teacher already delivering instruction.</w:t>
      </w:r>
    </w:p>
    <w:p>
      <w:pPr>
        <w:pStyle w:val="Heading2"/>
        <w:spacing w:after="160" w:before="280"/>
      </w:pPr>
      <w:r>
        <w:t xml:space="preserve">2.2 Direct Users, Beneficiaries, and Stakeholders</w:t>
      </w:r>
    </w:p>
    <w:p>
      <w:pPr>
        <w:spacing w:after="160" w:line="276"/>
        <w:jc w:val="both"/>
      </w:pPr>
      <w:r>
        <w:rPr>
          <w:rFonts w:ascii="Times New Roman" w:cs="Times New Roman" w:eastAsia="Times New Roman" w:hAnsi="Times New Roman"/>
          <w:b w:val="false"/>
          <w:bCs w:val="false"/>
          <w:i w:val="false"/>
          <w:iCs w:val="false"/>
          <w:sz w:val="24"/>
          <w:szCs w:val="24"/>
        </w:rPr>
        <w:t xml:space="preserve">See Section 1.4. The </w:t>
      </w:r>
      <w:r>
        <w:rPr>
          <w:rFonts w:ascii="Times New Roman" w:cs="Times New Roman" w:eastAsia="Times New Roman" w:hAnsi="Times New Roman"/>
          <w:b/>
          <w:bCs/>
          <w:i w:val="false"/>
          <w:iCs w:val="false"/>
          <w:sz w:val="24"/>
          <w:szCs w:val="24"/>
        </w:rPr>
        <w:t xml:space="preserve">direct user</w:t>
      </w:r>
      <w:r>
        <w:rPr>
          <w:rFonts w:ascii="Times New Roman" w:cs="Times New Roman" w:eastAsia="Times New Roman" w:hAnsi="Times New Roman"/>
          <w:b w:val="false"/>
          <w:bCs w:val="false"/>
          <w:i w:val="false"/>
          <w:iCs w:val="false"/>
          <w:sz w:val="24"/>
          <w:szCs w:val="24"/>
        </w:rPr>
        <w:t xml:space="preserve"> is a single classroom teacher operating the admin interface; </w:t>
      </w:r>
      <w:r>
        <w:rPr>
          <w:rFonts w:ascii="Times New Roman" w:cs="Times New Roman" w:eastAsia="Times New Roman" w:hAnsi="Times New Roman"/>
          <w:b/>
          <w:bCs/>
          <w:i w:val="false"/>
          <w:iCs w:val="false"/>
          <w:sz w:val="24"/>
          <w:szCs w:val="24"/>
        </w:rPr>
        <w:t xml:space="preserve">students are not users</w:t>
      </w:r>
      <w:r>
        <w:rPr>
          <w:rFonts w:ascii="Times New Roman" w:cs="Times New Roman" w:eastAsia="Times New Roman" w:hAnsi="Times New Roman"/>
          <w:b w:val="false"/>
          <w:bCs w:val="false"/>
          <w:i w:val="false"/>
          <w:iCs w:val="false"/>
          <w:sz w:val="24"/>
          <w:szCs w:val="24"/>
        </w:rPr>
        <w:t xml:space="preserve"> of the system — they are the (non-identified) subjects of detection. </w:t>
      </w:r>
      <w:r>
        <w:rPr>
          <w:rFonts w:ascii="Times New Roman" w:cs="Times New Roman" w:eastAsia="Times New Roman" w:hAnsi="Times New Roman"/>
          <w:b w:val="false"/>
          <w:bCs w:val="false"/>
          <w:i/>
          <w:iCs/>
          <w:sz w:val="24"/>
          <w:szCs w:val="24"/>
        </w:rPr>
        <w:t xml:space="preserve">Status: Working decision</w:t>
      </w:r>
      <w:r>
        <w:rPr>
          <w:rFonts w:ascii="Times New Roman" w:cs="Times New Roman" w:eastAsia="Times New Roman" w:hAnsi="Times New Roman"/>
          <w:b w:val="false"/>
          <w:bCs w:val="false"/>
          <w:i w:val="false"/>
          <w:iCs w:val="false"/>
          <w:sz w:val="24"/>
          <w:szCs w:val="24"/>
        </w:rPr>
        <w:t xml:space="preserve"> (“admin-only interface, no student-facing UI anywhere in the repo”).</w:t>
      </w:r>
    </w:p>
    <w:p>
      <w:pPr>
        <w:pStyle w:val="Heading2"/>
        <w:spacing w:after="160" w:before="280"/>
      </w:pPr>
      <w:r>
        <w:t xml:space="preserve">2.3 Target Environment and Its Limitations</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proposal scopes the system to </w:t>
      </w:r>
      <w:r>
        <w:rPr>
          <w:rFonts w:ascii="Times New Roman" w:cs="Times New Roman" w:eastAsia="Times New Roman" w:hAnsi="Times New Roman"/>
          <w:b/>
          <w:bCs/>
          <w:i w:val="false"/>
          <w:iCs w:val="false"/>
          <w:sz w:val="24"/>
          <w:szCs w:val="24"/>
        </w:rPr>
        <w:t xml:space="preserve">public grade-school classrooms</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Status: Proposal requirement</w:t>
      </w:r>
      <w:r>
        <w:rPr>
          <w:rFonts w:ascii="Times New Roman" w:cs="Times New Roman" w:eastAsia="Times New Roman" w:hAnsi="Times New Roman"/>
          <w:b w:val="false"/>
          <w:bCs w:val="false"/>
          <w:i w:val="false"/>
          <w:iCs w:val="false"/>
          <w:sz w:val="24"/>
          <w:szCs w:val="24"/>
        </w:rPr>
        <w:t xml:space="preserve">), selected via purposive sampling of teachers who would evaluate the system (</w:t>
      </w:r>
      <w:r>
        <w:rPr>
          <w:rFonts w:ascii="Times New Roman" w:cs="Times New Roman" w:eastAsia="Times New Roman" w:hAnsi="Times New Roman"/>
          <w:b w:val="false"/>
          <w:bCs w:val="false"/>
          <w:i/>
          <w:iCs/>
          <w:sz w:val="24"/>
          <w:szCs w:val="24"/>
        </w:rPr>
        <w:t xml:space="preserve">Status: Proposal requirement</w:t>
      </w:r>
      <w:r>
        <w:rPr>
          <w:rFonts w:ascii="Times New Roman" w:cs="Times New Roman" w:eastAsia="Times New Roman" w:hAnsi="Times New Roman"/>
          <w:b w:val="false"/>
          <w:bCs w:val="false"/>
          <w:i w:val="false"/>
          <w:iCs w:val="false"/>
          <w:sz w:val="24"/>
          <w:szCs w:val="24"/>
        </w:rPr>
        <w:t xml:space="preserve">). No specific school, grade level, or classroom has been documented as a confirmed pilot site in this repository. The environment itself constrains technical feasibility (see Section 3): classroom clutter, seating density, lighting variability, and object occlusion are explicitly acknowledged in the proposal as conditions that can reduce detection accuracy (</w:t>
      </w:r>
      <w:r>
        <w:rPr>
          <w:rFonts w:ascii="Times New Roman" w:cs="Times New Roman" w:eastAsia="Times New Roman" w:hAnsi="Times New Roman"/>
          <w:b w:val="false"/>
          <w:bCs w:val="false"/>
          <w:i/>
          <w:iCs/>
          <w:sz w:val="24"/>
          <w:szCs w:val="24"/>
        </w:rPr>
        <w:t xml:space="preserve">Status: Proposal requirement</w:t>
      </w:r>
      <w:r>
        <w:rPr>
          <w:rFonts w:ascii="Times New Roman" w:cs="Times New Roman" w:eastAsia="Times New Roman" w:hAnsi="Times New Roman"/>
          <w:b w:val="false"/>
          <w:bCs w:val="false"/>
          <w:i w:val="false"/>
          <w:iCs w:val="false"/>
          <w:sz w:val="24"/>
          <w:szCs w:val="24"/>
        </w:rPr>
        <w:t xml:space="preserve">).</w:t>
      </w:r>
    </w:p>
    <w:p>
      <w:pPr>
        <w:pStyle w:val="Heading2"/>
        <w:spacing w:after="160" w:before="280"/>
      </w:pPr>
      <w:r>
        <w:t xml:space="preserve">2.4 Existing Approaches and Comparable Systems</w:t>
      </w:r>
    </w:p>
    <w:p>
      <w:pPr>
        <w:spacing w:after="160" w:line="276"/>
        <w:jc w:val="both"/>
      </w:pPr>
      <w:r>
        <w:rPr>
          <w:rFonts w:ascii="Times New Roman" w:cs="Times New Roman" w:eastAsia="Times New Roman" w:hAnsi="Times New Roman"/>
          <w:b w:val="false"/>
          <w:bCs w:val="false"/>
          <w:i w:val="false"/>
          <w:iCs w:val="false"/>
          <w:sz w:val="24"/>
          <w:szCs w:val="24"/>
        </w:rPr>
        <w:t xml:space="preserve">Three broad existing approaches already address parts of this space, none of which are documented as evaluated head-to-head against BantayAralan within this repository (a structured comparison is given in Section 9):</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Teacher-only observation</w:t>
      </w:r>
      <w:r>
        <w:rPr>
          <w:rFonts w:ascii="Times New Roman" w:cs="Times New Roman" w:eastAsia="Times New Roman" w:hAnsi="Times New Roman"/>
          <w:b w:val="false"/>
          <w:bCs w:val="false"/>
          <w:i w:val="false"/>
          <w:iCs w:val="false"/>
          <w:sz w:val="24"/>
          <w:szCs w:val="24"/>
        </w:rPr>
        <w:t xml:space="preserve"> — the status quo; no technology involved.</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Conventional CCTV</w:t>
      </w:r>
      <w:r>
        <w:rPr>
          <w:rFonts w:ascii="Times New Roman" w:cs="Times New Roman" w:eastAsia="Times New Roman" w:hAnsi="Times New Roman"/>
          <w:b w:val="false"/>
          <w:bCs w:val="false"/>
          <w:i w:val="false"/>
          <w:iCs w:val="false"/>
          <w:sz w:val="24"/>
          <w:szCs w:val="24"/>
        </w:rPr>
        <w:t xml:space="preserve"> — records video but does not analyze it; a human must still watch or review footage manually.</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Published classroom-behavior computer-vision research</w:t>
      </w:r>
      <w:r>
        <w:rPr>
          <w:rFonts w:ascii="Times New Roman" w:cs="Times New Roman" w:eastAsia="Times New Roman" w:hAnsi="Times New Roman"/>
          <w:b w:val="false"/>
          <w:bCs w:val="false"/>
          <w:i w:val="false"/>
          <w:iCs w:val="false"/>
          <w:sz w:val="24"/>
          <w:szCs w:val="24"/>
        </w:rPr>
        <w:t xml:space="preserve"> — the proposal cites several systems (skeleton-pose-based behavior recognition: Lin et al., 2021; YOLOv8-based classroom behavior detection: Sheng, Li, &amp; Chan, 2025; online-teaching behavior capture: Yang, 2024) reporting detection accuracies in the ~95–97% range under their own study conditions. </w:t>
      </w:r>
      <w:r>
        <w:rPr>
          <w:rFonts w:ascii="Times New Roman" w:cs="Times New Roman" w:eastAsia="Times New Roman" w:hAnsi="Times New Roman"/>
          <w:b/>
          <w:bCs/>
          <w:i w:val="false"/>
          <w:iCs w:val="false"/>
          <w:sz w:val="24"/>
          <w:szCs w:val="24"/>
        </w:rPr>
        <w:t xml:space="preserve">These are third-party research results, not measurements of BantayAralan</w:t>
      </w:r>
      <w:r>
        <w:rPr>
          <w:rFonts w:ascii="Times New Roman" w:cs="Times New Roman" w:eastAsia="Times New Roman" w:hAnsi="Times New Roman"/>
          <w:b w:val="false"/>
          <w:bCs w:val="false"/>
          <w:i w:val="false"/>
          <w:iCs w:val="false"/>
          <w:sz w:val="24"/>
          <w:szCs w:val="24"/>
        </w:rPr>
        <w:t xml:space="preserve"> — no equivalent number exists for this project yet (</w:t>
      </w:r>
      <w:r>
        <w:rPr>
          <w:rFonts w:ascii="Times New Roman" w:cs="Times New Roman" w:eastAsia="Times New Roman" w:hAnsi="Times New Roman"/>
          <w:b w:val="false"/>
          <w:bCs w:val="false"/>
          <w:i/>
          <w:iCs/>
          <w:sz w:val="24"/>
          <w:szCs w:val="24"/>
        </w:rPr>
        <w:t xml:space="preserve">Status: Not yet implemented</w:t>
      </w:r>
      <w:r>
        <w:rPr>
          <w:rFonts w:ascii="Times New Roman" w:cs="Times New Roman" w:eastAsia="Times New Roman" w:hAnsi="Times New Roman"/>
          <w:b w:val="false"/>
          <w:bCs w:val="false"/>
          <w:i w:val="false"/>
          <w:iCs w:val="false"/>
          <w:sz w:val="24"/>
          <w:szCs w:val="24"/>
        </w:rPr>
        <w:t xml:space="preserve">; see Section 3.4).</w:t>
      </w:r>
    </w:p>
    <w:p>
      <w:pPr>
        <w:pStyle w:val="Heading2"/>
        <w:spacing w:after="160" w:before="280"/>
      </w:pPr>
      <w:r>
        <w:t xml:space="preserve">2.5 Adoption Considerations</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A single-classroom, admin-only, no-login deployment (current UI scope) lowers the adoption bar technically but does not by itself address consent, multi-teacher use, or multi-classroom rollout — all explicitly </w:t>
      </w:r>
      <w:r>
        <w:rPr>
          <w:rFonts w:ascii="Times New Roman" w:cs="Times New Roman" w:eastAsia="Times New Roman" w:hAnsi="Times New Roman"/>
          <w:b/>
          <w:bCs/>
          <w:i w:val="false"/>
          <w:iCs w:val="false"/>
          <w:sz w:val="24"/>
          <w:szCs w:val="24"/>
        </w:rPr>
        <w:t xml:space="preserve">Under consideration</w:t>
      </w:r>
      <w:r>
        <w:rPr>
          <w:rFonts w:ascii="Times New Roman" w:cs="Times New Roman" w:eastAsia="Times New Roman" w:hAnsi="Times New Roman"/>
          <w:b w:val="false"/>
          <w:bCs w:val="false"/>
          <w:i w:val="false"/>
          <w:iCs w:val="false"/>
          <w:sz w:val="24"/>
          <w:szCs w:val="24"/>
        </w:rPr>
        <w:t xml:space="preserve"> or </w:t>
      </w:r>
      <w:r>
        <w:rPr>
          <w:rFonts w:ascii="Times New Roman" w:cs="Times New Roman" w:eastAsia="Times New Roman" w:hAnsi="Times New Roman"/>
          <w:b/>
          <w:bCs/>
          <w:i w:val="false"/>
          <w:iCs w:val="false"/>
          <w:sz w:val="24"/>
          <w:szCs w:val="24"/>
        </w:rPr>
        <w:t xml:space="preserve">Unclear</w:t>
      </w:r>
      <w:r>
        <w:rPr>
          <w:rFonts w:ascii="Times New Roman" w:cs="Times New Roman" w:eastAsia="Times New Roman" w:hAnsi="Times New Roman"/>
          <w:b w:val="false"/>
          <w:bCs w:val="false"/>
          <w:i w:val="false"/>
          <w:iCs w:val="false"/>
          <w:sz w:val="24"/>
          <w:szCs w:val="24"/>
        </w:rPr>
        <w:t xml:space="preserve"> (“whether authentication will ever be necessary,” “deployment architecture beyond the current admin-UI prototype”).</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Institutional use beyond the pilot classroom (e.g., school-wide rollout) is not discussed anywhere in the current documents and should not be assumed as a goal of this capstone phase.</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No user counts, school counts, demand surveys, or market-share figures are asserted in this study; none exist in the repository, and none are fabricated here, per the scope of this task.</w:t>
      </w:r>
    </w:p>
    <w:p>
      <w:r>
        <w:br w:type="page"/>
      </w:r>
    </w:p>
    <w:p>
      <w:pPr>
        <w:pStyle w:val="Heading1"/>
        <w:spacing w:after="200" w:before="360"/>
      </w:pPr>
      <w:r>
        <w:t xml:space="preserve">3. Technical Feasibility</w:t>
      </w:r>
    </w:p>
    <w:p>
      <w:pPr>
        <w:pStyle w:val="Heading2"/>
        <w:spacing w:after="160" w:before="280"/>
      </w:pPr>
      <w:r>
        <w:t xml:space="preserve">3.1 Hardware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434"/>
        <w:gridCol w:w="4867"/>
      </w:tblGrid>
      <w:tr>
        <w:trPr>
          <w:tblHeader/>
        </w:trPr>
        <w:tc>
          <w:tcPr>
            <w:tcW w:type="dxa" w:w="2059"/>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Item</w:t>
            </w:r>
          </w:p>
        </w:tc>
        <w:tc>
          <w:tcPr>
            <w:tcW w:type="dxa" w:w="2434"/>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Status</w:t>
            </w:r>
          </w:p>
        </w:tc>
        <w:tc>
          <w:tcPr>
            <w:tcW w:type="dxa" w:w="4867"/>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Detail</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 model</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(2026-09-24)</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TP-Link VIGI C320I — 2MP PoE (802.3af/at) dome/bullet IR network camera, H.265+ compression, IP67-rated, available in 2.8/4/6 mm fixed-lens variants (TP-Link, n.d.-a; Bermorzone, n.d.)</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 role coverage</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Unclear</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Whether one VIGI C320I unit covers both the ceiling-mounted (behavior) and top-down (clutter/alignment) roles, or one unit is needed per role, is not confirmed anywhere</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 ingest protocol</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Unclear / internally inconsistent across sources</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DOC-CAP-FINAL-2026-008 §2.5 states the camera “streams over RTSP/ONVIF” as if already configured, but that same document's own §3.0 “Outstanding Items” lists “finalize the ingest protocol configuration” as still open. Treat RTSP/ONVIF as plausible (the standard protocol family for this camera class) but not yet confirmed as this project's actual configuration</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Network switch</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(2026-09-26)</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TP-Link TL-SG1005LP — 5-port Gigabit desktop switch, 4× PoE+ ports, 40 W total PoE budget (TP-Link, n.d.-b)</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Processing PC — full specification</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(2026-09-26)</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CPU: AMD Ryzen 5 5600; GPU: NVIDIA GeForce RTX 2060; RAM: 16 GB, 3200 MHz (Team Group Vulcan Z); Storage: 256 GB M.2 SSD (Team Group TM8PS7512G) + 1 TB HDD (Seagate ST31000524AS)</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Processing PC — form factor, drive assignment</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Unclear</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Desktop vs. laptop is inferred (likely desktop, given the discrete-GPU + separate SSD/HDD layout), not confirmed; which drive would host the local database/evidence store is not stated</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PoE infrastructure</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(implied by camera + switch choice)</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 PoE camera drawing power and data over one Ethernet run per camera, terminating at the TL-SG1005LP's 4 PoE+ ports — sufficient for up to 4 PoE devices, comfortably covering a 1–2 camera deployment</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Mounting/installation</w:t>
            </w:r>
          </w:p>
        </w:tc>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Unclear</w:t>
            </w:r>
          </w:p>
        </w:tc>
        <w:tc>
          <w:tcPr>
            <w:tcW w:type="dxa" w:w="4867"/>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Only “ceiling-mounted” and “top-down” are specified; no exact height, angle, FOV, or bracket/cabling plan exists</w:t>
            </w:r>
          </w:p>
        </w:tc>
      </w:tr>
    </w:tbl>
    <w:p>
      <w:pPr>
        <w:spacing w:after="200"/>
      </w:pPr>
    </w:p>
    <w:p>
      <w:pPr>
        <w:spacing w:after="160" w:line="276"/>
        <w:jc w:val="both"/>
      </w:pPr>
      <w:r>
        <w:rPr>
          <w:rFonts w:ascii="Times New Roman" w:cs="Times New Roman" w:eastAsia="Times New Roman" w:hAnsi="Times New Roman"/>
          <w:b/>
          <w:bCs/>
          <w:i w:val="false"/>
          <w:iCs w:val="false"/>
          <w:sz w:val="24"/>
          <w:szCs w:val="24"/>
        </w:rPr>
        <w:t xml:space="preserve">Assessment.</w:t>
      </w:r>
      <w:r>
        <w:rPr>
          <w:rFonts w:ascii="Times New Roman" w:cs="Times New Roman" w:eastAsia="Times New Roman" w:hAnsi="Times New Roman"/>
          <w:b w:val="false"/>
          <w:bCs w:val="false"/>
          <w:i w:val="false"/>
          <w:iCs w:val="false"/>
          <w:sz w:val="24"/>
          <w:szCs w:val="24"/>
        </w:rPr>
        <w:t xml:space="preserve"> The confirmed pieces (camera, switch, and the full processing-PC specification) are all consumer/small-business-grade components that are individually well understood and readily available in the Philippine retail market (see Section 5 for pricing). Nothing about this specific combination is technically implausible for a single-classroom pilot. The remaining open items (camera role count, ingest protocol, PC form factor/drive assignment, mounting plan) are ordinary pre-deployment engineering decisions, not indications of infeasibility — but they must be resolved before a real pilot, and none of them should be treated as decided until a project-team or adviser record says so.</w:t>
      </w:r>
    </w:p>
    <w:p>
      <w:pPr>
        <w:pStyle w:val="Heading2"/>
        <w:spacing w:after="160" w:before="280"/>
      </w:pPr>
      <w:r>
        <w:t xml:space="preserve">3.2 Software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5242"/>
        <w:gridCol w:w="2059"/>
      </w:tblGrid>
      <w:tr>
        <w:trPr>
          <w:tblHeader/>
        </w:trPr>
        <w:tc>
          <w:tcPr>
            <w:tcW w:type="dxa" w:w="2059"/>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Component</w:t>
            </w:r>
          </w:p>
        </w:tc>
        <w:tc>
          <w:tcPr>
            <w:tcW w:type="dxa" w:w="524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Suitability Assessment</w:t>
            </w:r>
          </w:p>
        </w:tc>
        <w:tc>
          <w:tcPr>
            <w:tcW w:type="dxa" w:w="2059"/>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Status</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Python</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Standard, mature ecosystem for both the CV stack (OpenCV, PyTorch/Ultralytics) and the existing Flask backend — no suitability concerns</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 (admin-ui); Proposal requirement (CV pipeline)</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OpenCV</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Standard, well-supported library for frame capture/preprocessing; suitable</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YOLOv8 (Ultralytics)</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Actively maintained, anchor-free single-stage detector with pose-estimation support; ships multiple size variants (n/s/m/l/x) trading accuracy for speed, which matters directly for real-time feasibility on modest hardware (Ultralytics, n.d.; Jocher, Chaurasia, &amp; Qiu, 2023)</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(supersedes the proposal's YOLO11m — Changed from proposal)</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ByteTrack</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Tracking-by-detection algorithm that associates every detection box, including low-confidence ones, via Kalman-filter motion prediction and a two-stage IoU association — useful for reducing head-count double-counting under partial occlusion (Zhang et al., 2022)</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Planned / Proposal requirement — no tracking code exists yet</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SQLite</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Appropriate for this project's actual data shape: three small, independently structured tables with simple filter/sort/paginate query patterns; needs no separate DB server process, matching the local single-machine hosting decision</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Flask</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 minimal, well-understood Python web framework already running the admin UI; suitable for the project's single-process, single-classroom scope</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Vanilla JS/HTML/CSS (no framework)</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Appropriate given the admin UI's modest interactivity needs (routing, fetch+render); avoids a build-tooling dependency</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w:t>
            </w:r>
          </w:p>
        </w:tc>
      </w:tr>
    </w:tbl>
    <w:p>
      <w:pPr>
        <w:spacing w:after="200"/>
      </w:pPr>
    </w:p>
    <w:p>
      <w:pPr>
        <w:spacing w:after="160" w:line="276"/>
        <w:jc w:val="both"/>
      </w:pPr>
      <w:r>
        <w:rPr>
          <w:rFonts w:ascii="Times New Roman" w:cs="Times New Roman" w:eastAsia="Times New Roman" w:hAnsi="Times New Roman"/>
          <w:b/>
          <w:bCs/>
          <w:i w:val="false"/>
          <w:iCs w:val="false"/>
          <w:sz w:val="24"/>
          <w:szCs w:val="24"/>
        </w:rPr>
        <w:t xml:space="preserve">Software risk concentration.</w:t>
      </w:r>
      <w:r>
        <w:rPr>
          <w:rFonts w:ascii="Times New Roman" w:cs="Times New Roman" w:eastAsia="Times New Roman" w:hAnsi="Times New Roman"/>
          <w:b w:val="false"/>
          <w:bCs w:val="false"/>
          <w:i w:val="false"/>
          <w:iCs w:val="false"/>
          <w:sz w:val="24"/>
          <w:szCs w:val="24"/>
        </w:rPr>
        <w:t xml:space="preserve"> All of the </w:t>
      </w:r>
      <w:r>
        <w:rPr>
          <w:rFonts w:ascii="Times New Roman" w:cs="Times New Roman" w:eastAsia="Times New Roman" w:hAnsi="Times New Roman"/>
          <w:b w:val="false"/>
          <w:bCs w:val="false"/>
          <w:i/>
          <w:iCs/>
          <w:sz w:val="24"/>
          <w:szCs w:val="24"/>
        </w:rPr>
        <w:t xml:space="preserve">implemented</w:t>
      </w:r>
      <w:r>
        <w:rPr>
          <w:rFonts w:ascii="Times New Roman" w:cs="Times New Roman" w:eastAsia="Times New Roman" w:hAnsi="Times New Roman"/>
          <w:b w:val="false"/>
          <w:bCs w:val="false"/>
          <w:i w:val="false"/>
          <w:iCs w:val="false"/>
          <w:sz w:val="24"/>
          <w:szCs w:val="24"/>
        </w:rPr>
        <w:t xml:space="preserve"> software risk sits in a well-trodden, low-risk stack (Flask + SQLite + vanilla JS). All of the </w:t>
      </w:r>
      <w:r>
        <w:rPr>
          <w:rFonts w:ascii="Times New Roman" w:cs="Times New Roman" w:eastAsia="Times New Roman" w:hAnsi="Times New Roman"/>
          <w:b w:val="false"/>
          <w:bCs w:val="false"/>
          <w:i/>
          <w:iCs/>
          <w:sz w:val="24"/>
          <w:szCs w:val="24"/>
        </w:rPr>
        <w:t xml:space="preserve">unimplemented</w:t>
      </w:r>
      <w:r>
        <w:rPr>
          <w:rFonts w:ascii="Times New Roman" w:cs="Times New Roman" w:eastAsia="Times New Roman" w:hAnsi="Times New Roman"/>
          <w:b w:val="false"/>
          <w:bCs w:val="false"/>
          <w:i w:val="false"/>
          <w:iCs w:val="false"/>
          <w:sz w:val="24"/>
          <w:szCs w:val="24"/>
        </w:rPr>
        <w:t xml:space="preserve"> software risk sits in the CV stack (YOLOv8 + ByteTrack + custom behavior/alignment logic), which is a materially harder engineering problem — see Section 3.3.</w:t>
      </w:r>
    </w:p>
    <w:p>
      <w:pPr>
        <w:pStyle w:val="Heading2"/>
        <w:spacing w:after="160" w:before="280"/>
      </w:pPr>
      <w:r>
        <w:t xml:space="preserve">3.3 Computer Vision Feasibility</w:t>
      </w:r>
    </w:p>
    <w:p>
      <w:pPr>
        <w:spacing w:after="160" w:line="276"/>
        <w:jc w:val="both"/>
      </w:pPr>
      <w:r>
        <w:rPr>
          <w:rFonts w:ascii="Times New Roman" w:cs="Times New Roman" w:eastAsia="Times New Roman" w:hAnsi="Times New Roman"/>
          <w:b w:val="false"/>
          <w:bCs w:val="false"/>
          <w:i w:val="false"/>
          <w:iCs w:val="false"/>
          <w:sz w:val="24"/>
          <w:szCs w:val="24"/>
        </w:rPr>
        <w:t xml:space="preserve">The proposed pipeline has two conceptually different halves that the project's own most recent technical document (DOC-CAP-FINAL-2026-008 §2.4) now separates explicitly:</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Pretrained-model tasks</w:t>
      </w:r>
      <w:r>
        <w:rPr>
          <w:rFonts w:ascii="Times New Roman" w:cs="Times New Roman" w:eastAsia="Times New Roman" w:hAnsi="Times New Roman"/>
          <w:b w:val="false"/>
          <w:bCs w:val="false"/>
          <w:i w:val="false"/>
          <w:iCs w:val="false"/>
          <w:sz w:val="24"/>
          <w:szCs w:val="24"/>
        </w:rPr>
        <w:t xml:space="preserve"> — person detection, pose estimation (standing behavior), and tracking. These use YOLOv8's COCO-pretrained weights and ByteTrack “out of the box,” and do not require a custom-trained model for their core function. </w:t>
      </w:r>
      <w:r>
        <w:rPr>
          <w:rFonts w:ascii="Times New Roman" w:cs="Times New Roman" w:eastAsia="Times New Roman" w:hAnsi="Times New Roman"/>
          <w:b w:val="false"/>
          <w:bCs w:val="false"/>
          <w:i/>
          <w:iCs/>
          <w:sz w:val="24"/>
          <w:szCs w:val="24"/>
        </w:rPr>
        <w:t xml:space="preserve">Status: Planned</w:t>
      </w:r>
      <w:r>
        <w:rPr>
          <w:rFonts w:ascii="Times New Roman" w:cs="Times New Roman" w:eastAsia="Times New Roman" w:hAnsi="Times New Roman"/>
          <w:b w:val="false"/>
          <w:bCs w:val="false"/>
          <w:i w:val="false"/>
          <w:iCs w:val="false"/>
          <w:sz w:val="24"/>
          <w:szCs w:val="24"/>
        </w:rPr>
        <w:t xml:space="preserve"> — no integration code exists yet, but the underlying models are mature, publicly available, and widely benchmarked for exactly this task class.</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Reference/zone-comparison tasks</w:t>
      </w:r>
      <w:r>
        <w:rPr>
          <w:rFonts w:ascii="Times New Roman" w:cs="Times New Roman" w:eastAsia="Times New Roman" w:hAnsi="Times New Roman"/>
          <w:b w:val="false"/>
          <w:bCs w:val="false"/>
          <w:i w:val="false"/>
          <w:iCs w:val="false"/>
          <w:sz w:val="24"/>
          <w:szCs w:val="24"/>
        </w:rPr>
        <w:t xml:space="preserve"> — clutter/out-of-place-object detection and seat/table alignment, framed as comparison against a fixed top-down camera view and a reference layout, not as fine-grained object classification. This matches the project's explicit design direction that the system flags something as “out of place” without classifying what type of object it is (e.g., not distinguishing paper from a bottle).</w:t>
      </w:r>
    </w:p>
    <w:p>
      <w:pPr>
        <w:spacing w:after="160" w:line="276"/>
        <w:jc w:val="both"/>
      </w:pPr>
      <w:r>
        <w:rPr>
          <w:rFonts w:ascii="Times New Roman" w:cs="Times New Roman" w:eastAsia="Times New Roman" w:hAnsi="Times New Roman"/>
          <w:b/>
          <w:bCs/>
          <w:i w:val="false"/>
          <w:iCs w:val="false"/>
          <w:sz w:val="24"/>
          <w:szCs w:val="24"/>
        </w:rPr>
        <w:t xml:space="preserve">Tension worth flagging plainly.</w:t>
      </w:r>
      <w:r>
        <w:rPr>
          <w:rFonts w:ascii="Times New Roman" w:cs="Times New Roman" w:eastAsia="Times New Roman" w:hAnsi="Times New Roman"/>
          <w:b w:val="false"/>
          <w:bCs w:val="false"/>
          <w:i w:val="false"/>
          <w:iCs w:val="false"/>
          <w:sz w:val="24"/>
          <w:szCs w:val="24"/>
        </w:rPr>
        <w:t xml:space="preserve"> DOC-CAP-FINAL-2026-008 frames a custom-trained clutter/alignment classifier as an </w:t>
      </w:r>
      <w:r>
        <w:rPr>
          <w:rFonts w:ascii="Times New Roman" w:cs="Times New Roman" w:eastAsia="Times New Roman" w:hAnsi="Times New Roman"/>
          <w:b w:val="false"/>
          <w:bCs w:val="false"/>
          <w:i/>
          <w:iCs/>
          <w:sz w:val="24"/>
          <w:szCs w:val="24"/>
        </w:rPr>
        <w:t xml:space="preserve">optional future refinement</w:t>
      </w:r>
      <w:r>
        <w:rPr>
          <w:rFonts w:ascii="Times New Roman" w:cs="Times New Roman" w:eastAsia="Times New Roman" w:hAnsi="Times New Roman"/>
          <w:b w:val="false"/>
          <w:bCs w:val="false"/>
          <w:i w:val="false"/>
          <w:iCs w:val="false"/>
          <w:sz w:val="24"/>
          <w:szCs w:val="24"/>
        </w:rPr>
        <w:t xml:space="preserve">, while the repository's actual current work has </w:t>
      </w:r>
      <w:r>
        <w:rPr>
          <w:rFonts w:ascii="Times New Roman" w:cs="Times New Roman" w:eastAsia="Times New Roman" w:hAnsi="Times New Roman"/>
          <w:b/>
          <w:bCs/>
          <w:i w:val="false"/>
          <w:iCs w:val="false"/>
          <w:sz w:val="24"/>
          <w:szCs w:val="24"/>
        </w:rPr>
        <w:t xml:space="preserve">already started</w:t>
      </w:r>
      <w:r>
        <w:rPr>
          <w:rFonts w:ascii="Times New Roman" w:cs="Times New Roman" w:eastAsia="Times New Roman" w:hAnsi="Times New Roman"/>
          <w:b w:val="false"/>
          <w:bCs w:val="false"/>
          <w:i w:val="false"/>
          <w:iCs w:val="false"/>
          <w:sz w:val="24"/>
          <w:szCs w:val="24"/>
        </w:rPr>
        <w:t xml:space="preserve"> exactly that: a 7-photo labeling round in Roboflow for the </w:t>
      </w:r>
      <w:r>
        <w:rPr>
          <w:rFonts w:ascii="Consolas" w:cs="Consolas" w:eastAsia="Consolas" w:hAnsi="Consolas"/>
          <w:b w:val="false"/>
          <w:bCs w:val="false"/>
          <w:i w:val="false"/>
          <w:iCs w:val="false"/>
          <w:sz w:val="22"/>
          <w:szCs w:val="22"/>
        </w:rPr>
        <w:t xml:space="preserve">trash</w:t>
      </w:r>
      <w:r>
        <w:rPr>
          <w:rFonts w:ascii="Times New Roman" w:cs="Times New Roman" w:eastAsia="Times New Roman" w:hAnsi="Times New Roman"/>
          <w:b w:val="false"/>
          <w:bCs w:val="false"/>
          <w:i w:val="false"/>
          <w:iCs w:val="false"/>
          <w:sz w:val="24"/>
          <w:szCs w:val="24"/>
        </w:rPr>
        <w:t xml:space="preserve"> and </w:t>
      </w:r>
      <w:r>
        <w:rPr>
          <w:rFonts w:ascii="Consolas" w:cs="Consolas" w:eastAsia="Consolas" w:hAnsi="Consolas"/>
          <w:b w:val="false"/>
          <w:bCs w:val="false"/>
          <w:i w:val="false"/>
          <w:iCs w:val="false"/>
          <w:sz w:val="22"/>
          <w:szCs w:val="22"/>
        </w:rPr>
        <w:t xml:space="preserve">misaligned</w:t>
      </w:r>
      <w:r>
        <w:rPr>
          <w:rFonts w:ascii="Times New Roman" w:cs="Times New Roman" w:eastAsia="Times New Roman" w:hAnsi="Times New Roman"/>
          <w:b w:val="false"/>
          <w:bCs w:val="false"/>
          <w:i w:val="false"/>
          <w:iCs w:val="false"/>
          <w:sz w:val="24"/>
          <w:szCs w:val="24"/>
        </w:rPr>
        <w:t xml:space="preserve"> categories. These are not strictly contradictory (a proof-of-concept can run ahead of a document calling it “optional”), but the project's own documents currently disagree on whether custom training is core-path or a later refinement. This is not resolved here — see Section 10.</w:t>
      </w:r>
    </w:p>
    <w:p>
      <w:pPr>
        <w:spacing w:after="160" w:line="276"/>
        <w:jc w:val="both"/>
      </w:pPr>
      <w:r>
        <w:rPr>
          <w:rFonts w:ascii="Times New Roman" w:cs="Times New Roman" w:eastAsia="Times New Roman" w:hAnsi="Times New Roman"/>
          <w:b/>
          <w:bCs/>
          <w:i w:val="false"/>
          <w:iCs w:val="false"/>
          <w:sz w:val="24"/>
          <w:szCs w:val="24"/>
        </w:rPr>
        <w:t xml:space="preserve">Scale honesty.</w:t>
      </w:r>
      <w:r>
        <w:rPr>
          <w:rFonts w:ascii="Times New Roman" w:cs="Times New Roman" w:eastAsia="Times New Roman" w:hAnsi="Times New Roman"/>
          <w:b w:val="false"/>
          <w:bCs w:val="false"/>
          <w:i w:val="false"/>
          <w:iCs w:val="false"/>
          <w:sz w:val="24"/>
          <w:szCs w:val="24"/>
        </w:rPr>
        <w:t xml:space="preserve"> A dataset in the single digits to low tens of images (the current 7-photo round) is a </w:t>
      </w:r>
      <w:r>
        <w:rPr>
          <w:rFonts w:ascii="Times New Roman" w:cs="Times New Roman" w:eastAsia="Times New Roman" w:hAnsi="Times New Roman"/>
          <w:b/>
          <w:bCs/>
          <w:i w:val="false"/>
          <w:iCs w:val="false"/>
          <w:sz w:val="24"/>
          <w:szCs w:val="24"/>
        </w:rPr>
        <w:t xml:space="preserve">pipeline proof-of-concept</w:t>
      </w:r>
      <w:r>
        <w:rPr>
          <w:rFonts w:ascii="Times New Roman" w:cs="Times New Roman" w:eastAsia="Times New Roman" w:hAnsi="Times New Roman"/>
          <w:b w:val="false"/>
          <w:bCs w:val="false"/>
          <w:i w:val="false"/>
          <w:iCs w:val="false"/>
          <w:sz w:val="24"/>
          <w:szCs w:val="24"/>
        </w:rPr>
        <w:t xml:space="preserve">, not a usable detector. No accuracy, precision, or recall number exists for this project at any dataset size yet. DOC-CAP-FINAL-2026-008 §2.4 states that a production-oriented custom dataset (if pursued) would need “several hundred to low-thousands of annotated images,” following standard fine-tuning practice — this is a documented plan, not a claim that such a dataset exists.</w:t>
      </w:r>
    </w:p>
    <w:p>
      <w:pPr>
        <w:spacing w:after="160" w:line="276"/>
        <w:jc w:val="both"/>
      </w:pPr>
      <w:r>
        <w:rPr>
          <w:rFonts w:ascii="Times New Roman" w:cs="Times New Roman" w:eastAsia="Times New Roman" w:hAnsi="Times New Roman"/>
          <w:b/>
          <w:bCs/>
          <w:i w:val="false"/>
          <w:iCs w:val="false"/>
          <w:sz w:val="24"/>
          <w:szCs w:val="24"/>
        </w:rPr>
        <w:t xml:space="preserve">Two-camera pipeline independence.</w:t>
      </w:r>
      <w:r>
        <w:rPr>
          <w:rFonts w:ascii="Times New Roman" w:cs="Times New Roman" w:eastAsia="Times New Roman" w:hAnsi="Times New Roman"/>
          <w:b w:val="false"/>
          <w:bCs w:val="false"/>
          <w:i w:val="false"/>
          <w:iCs w:val="false"/>
          <w:sz w:val="24"/>
          <w:szCs w:val="24"/>
        </w:rPr>
        <w:t xml:space="preserve"> The proposal's design keeps the ceiling camera (behavior) and top-down camera (clutter/alignment) as two largely independent processing pipelines converging only at event logging. This is a sound simplification: a delay or failure in one pipeline's development does not block the other, and it avoids needing a single model to reason about two very different camera geometries at once.</w:t>
      </w:r>
    </w:p>
    <w:p>
      <w:pPr>
        <w:pStyle w:val="Heading2"/>
        <w:spacing w:after="160" w:before="280"/>
      </w:pPr>
      <w:r>
        <w:t xml:space="preserve">3.4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Metric</w:t>
            </w:r>
          </w:p>
        </w:tc>
        <w:tc>
          <w:tcPr>
            <w:tcW w:type="dxa" w:w="3744"/>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Planned Evaluation Approach</w:t>
            </w:r>
          </w:p>
        </w:tc>
        <w:tc>
          <w:tcPr>
            <w:tcW w:type="dxa" w:w="280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Current Measured Value</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Detection precision/recall/F1/mAP</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Pilot recordings + held-out annotated test set, COCO-style mAP</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 exist</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Tracking ID-switch rate / MOTA / IDF1</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Same pilot evaluation</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 exist</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Inference latency / FPS</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Wall-clock profiling on deployment hardware</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 exist</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CPU/GPU/memory utilization</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Measured during pilot</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 exist</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Teacher usability (5-point Likert)</w:t>
            </w:r>
          </w:p>
        </w:tc>
        <w:tc>
          <w:tcPr>
            <w:tcW w:type="dxa" w:w="374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Pre-/post-implementation survey</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collected — no survey has been administered</w:t>
            </w:r>
          </w:p>
        </w:tc>
      </w:tr>
    </w:tbl>
    <w:p>
      <w:pPr>
        <w:spacing w:after="200"/>
      </w:pPr>
    </w:p>
    <w:p>
      <w:pPr>
        <w:spacing w:after="160" w:line="276"/>
        <w:jc w:val="both"/>
      </w:pPr>
      <w:r>
        <w:rPr>
          <w:rFonts w:ascii="Times New Roman" w:cs="Times New Roman" w:eastAsia="Times New Roman" w:hAnsi="Times New Roman"/>
          <w:b w:val="false"/>
          <w:bCs w:val="false"/>
          <w:i w:val="false"/>
          <w:iCs w:val="false"/>
          <w:sz w:val="24"/>
          <w:szCs w:val="24"/>
        </w:rPr>
        <w:t xml:space="preserve">The proposal cites related work achieving up to ~95–97% accuracy and ~39 FPS in comparable classroom-behavior or real-time detection settings (Lin et al., 2021; Sheng, Li, &amp; Chan, 2025) — </w:t>
      </w:r>
      <w:r>
        <w:rPr>
          <w:rFonts w:ascii="Times New Roman" w:cs="Times New Roman" w:eastAsia="Times New Roman" w:hAnsi="Times New Roman"/>
          <w:b/>
          <w:bCs/>
          <w:i w:val="false"/>
          <w:iCs w:val="false"/>
          <w:sz w:val="24"/>
          <w:szCs w:val="24"/>
        </w:rPr>
        <w:t xml:space="preserve">these describe other researchers' systems, not BantayAralan</w:t>
      </w:r>
      <w:r>
        <w:rPr>
          <w:rFonts w:ascii="Times New Roman" w:cs="Times New Roman" w:eastAsia="Times New Roman" w:hAnsi="Times New Roman"/>
          <w:b w:val="false"/>
          <w:bCs w:val="false"/>
          <w:i w:val="false"/>
          <w:iCs w:val="false"/>
          <w:sz w:val="24"/>
          <w:szCs w:val="24"/>
        </w:rPr>
        <w:t xml:space="preserve">, and the proposal itself states no target numbers of its own (</w:t>
      </w:r>
      <w:r>
        <w:rPr>
          <w:rFonts w:ascii="Times New Roman" w:cs="Times New Roman" w:eastAsia="Times New Roman" w:hAnsi="Times New Roman"/>
          <w:b w:val="false"/>
          <w:bCs w:val="false"/>
          <w:i/>
          <w:iCs/>
          <w:sz w:val="24"/>
          <w:szCs w:val="24"/>
        </w:rPr>
        <w:t xml:space="preserve">Status: Proposal requirement</w:t>
      </w:r>
      <w:r>
        <w:rPr>
          <w:rFonts w:ascii="Times New Roman" w:cs="Times New Roman" w:eastAsia="Times New Roman" w:hAnsi="Times New Roman"/>
          <w:b w:val="false"/>
          <w:bCs w:val="false"/>
          <w:i w:val="false"/>
          <w:iCs w:val="false"/>
          <w:sz w:val="24"/>
          <w:szCs w:val="24"/>
        </w:rPr>
        <w:t xml:space="preserve">). No fabricated number for BantayAralan's own accuracy, FPS, or resource use appears anywhere in this study.</w:t>
      </w:r>
    </w:p>
    <w:p>
      <w:pPr>
        <w:spacing w:after="160" w:line="276"/>
        <w:jc w:val="both"/>
      </w:pPr>
      <w:r>
        <w:rPr>
          <w:rFonts w:ascii="Times New Roman" w:cs="Times New Roman" w:eastAsia="Times New Roman" w:hAnsi="Times New Roman"/>
          <w:b/>
          <w:bCs/>
          <w:i w:val="false"/>
          <w:iCs w:val="false"/>
          <w:sz w:val="24"/>
          <w:szCs w:val="24"/>
        </w:rPr>
        <w:t xml:space="preserve">Plausibility given confirmed hardware.</w:t>
      </w:r>
      <w:r>
        <w:rPr>
          <w:rFonts w:ascii="Times New Roman" w:cs="Times New Roman" w:eastAsia="Times New Roman" w:hAnsi="Times New Roman"/>
          <w:b w:val="false"/>
          <w:bCs w:val="false"/>
          <w:i w:val="false"/>
          <w:iCs w:val="false"/>
          <w:sz w:val="24"/>
          <w:szCs w:val="24"/>
        </w:rPr>
        <w:t xml:space="preserve"> The project's actual processing PC is now fully specified: a Ryzen 5 5600 CPU (a mainstream 6-core/12-thread 2021-era desktop CPU), an RTX 2060 GPU (Turing architecture, 2019, 6 GB or 12 GB VRAM depending on variant), 16 GB of 3200 MHz RAM, a 256 GB M.2 SSD, and a 1 TB HDD. This is a balanced, mid-range gaming-class desktop, not a purpose-built inference server — but it is squarely within the class of consumer hardware Ultralytics documents YOLOv8 running on in real time for the smaller/medium model variants (n/s/m), particularly at the modest single-camera, fixed-viewpoint, low-motion-complexity scenario this project targets. The CPU is unlikely to be the bottleneck for a single- or dual-camera pipeline where the GPU handles inference; 16 GB RAM is adequate for a Python/PyTorch inference process alongside the existing Flask admin-ui process. This is a plausibility statement based on the confirmed hardware's general class, </w:t>
      </w:r>
      <w:r>
        <w:rPr>
          <w:rFonts w:ascii="Times New Roman" w:cs="Times New Roman" w:eastAsia="Times New Roman" w:hAnsi="Times New Roman"/>
          <w:b/>
          <w:bCs/>
          <w:i w:val="false"/>
          <w:iCs w:val="false"/>
          <w:sz w:val="24"/>
          <w:szCs w:val="24"/>
        </w:rPr>
        <w:t xml:space="preserve">not a benchmark of this project's actual pipeline</w:t>
      </w:r>
      <w:r>
        <w:rPr>
          <w:rFonts w:ascii="Times New Roman" w:cs="Times New Roman" w:eastAsia="Times New Roman" w:hAnsi="Times New Roman"/>
          <w:b w:val="false"/>
          <w:bCs w:val="false"/>
          <w:i w:val="false"/>
          <w:iCs w:val="false"/>
          <w:sz w:val="24"/>
          <w:szCs w:val="24"/>
        </w:rPr>
        <w:t xml:space="preserve">, which does not exist yet. DOC-CAP-FINAL-2026-008 already identifies the standard mitigations if real-time performance is short on this hardware: a smaller YOLOv8 variant, cropping each frame to a region of interest before inference, and reducing frame rate outside active class hours.</w:t>
      </w:r>
    </w:p>
    <w:p>
      <w:pPr>
        <w:pStyle w:val="Heading2"/>
        <w:spacing w:after="160" w:before="280"/>
      </w:pPr>
      <w:r>
        <w:t xml:space="preserve">3.5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2808"/>
        <w:gridCol w:w="4118"/>
      </w:tblGrid>
      <w:tr>
        <w:trPr>
          <w:tblHeader/>
        </w:trPr>
        <w:tc>
          <w:tcPr>
            <w:tcW w:type="dxa" w:w="2434"/>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Need</w:t>
            </w:r>
          </w:p>
        </w:tc>
        <w:tc>
          <w:tcPr>
            <w:tcW w:type="dxa" w:w="280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Status</w:t>
            </w:r>
          </w:p>
        </w:tc>
        <w:tc>
          <w:tcPr>
            <w:tcW w:type="dxa" w:w="411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Detail</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Training data for pretrained-task models (person/pose detection, tracking)</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required per current design direction</w:t>
            </w:r>
          </w:p>
        </w:tc>
        <w:tc>
          <w:tcPr>
            <w:tcW w:type="dxa" w:w="411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Uses COCO-pretrained YOLOv8 weights and ByteTrack's motion-based association — no BantayAralan-specific dataset needed for these</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Training data for clutter/alignment reference-comparison</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Partially started</w:t>
            </w:r>
          </w:p>
        </w:tc>
        <w:tc>
          <w:tcPr>
            <w:tcW w:type="dxa" w:w="411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7 source photos, 2-class taxonomy (trash, misaligned), labeled via Roboflow — proof-of-concept scale only</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Annotation requirements</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Documented as a plan, not yet executed at scale</w:t>
            </w:r>
          </w:p>
        </w:tc>
        <w:tc>
          <w:tcPr>
            <w:tcW w:type="dxa" w:w="411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Bounding boxes, binary/few-class “in place”/“out of place” labeling (not a trash-type taxonomy); several hundred to low-thousands of annotated images per class recommended if a production model is pursued</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Train/validation/test split</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Planned</w:t>
            </w:r>
          </w:p>
        </w:tc>
        <w:tc>
          <w:tcPr>
            <w:tcW w:type="dxa" w:w="411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70/15/15 or 80/10/10, stratified by lighting condition — not yet executed on real data</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Testing/evaluation data</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411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held-out classroom pilot recordings exist</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Evidence storage (screenshots/video)</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 as UI simulation only</w:t>
            </w:r>
          </w:p>
        </w:tc>
        <w:tc>
          <w:tcPr>
            <w:tcW w:type="dxa" w:w="411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screenshots are placeholder SVGs; real video is a simulated JS timer</w:t>
            </w:r>
          </w:p>
        </w:tc>
      </w:tr>
      <w:tr>
        <w:tc>
          <w:tcPr>
            <w:tcW w:type="dxa" w:w="2434"/>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Database</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w:t>
            </w:r>
          </w:p>
        </w:tc>
        <w:tc>
          <w:tcPr>
            <w:tcW w:type="dxa" w:w="411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SQLite, three tables, hosted locally</w:t>
            </w:r>
          </w:p>
        </w:tc>
      </w:tr>
    </w:tbl>
    <w:p>
      <w:pPr>
        <w:spacing w:after="200"/>
      </w:pPr>
    </w:p>
    <w:p>
      <w:pPr>
        <w:spacing w:after="160" w:line="276"/>
        <w:jc w:val="both"/>
      </w:pPr>
      <w:r>
        <w:rPr>
          <w:rFonts w:ascii="Times New Roman" w:cs="Times New Roman" w:eastAsia="Times New Roman" w:hAnsi="Times New Roman"/>
          <w:b/>
          <w:bCs/>
          <w:i w:val="false"/>
          <w:iCs w:val="false"/>
          <w:sz w:val="24"/>
          <w:szCs w:val="24"/>
        </w:rPr>
        <w:t xml:space="preserve">Where additional development is clearly required:</w:t>
      </w:r>
      <w:r>
        <w:rPr>
          <w:rFonts w:ascii="Times New Roman" w:cs="Times New Roman" w:eastAsia="Times New Roman" w:hAnsi="Times New Roman"/>
          <w:b w:val="false"/>
          <w:bCs w:val="false"/>
          <w:i w:val="false"/>
          <w:iCs w:val="false"/>
          <w:sz w:val="24"/>
          <w:szCs w:val="24"/>
        </w:rPr>
        <w:t xml:space="preserve"> a rolling per-camera frame buffer (to capture time </w:t>
      </w:r>
      <w:r>
        <w:rPr>
          <w:rFonts w:ascii="Times New Roman" w:cs="Times New Roman" w:eastAsia="Times New Roman" w:hAnsi="Times New Roman"/>
          <w:b w:val="false"/>
          <w:bCs w:val="false"/>
          <w:i/>
          <w:iCs/>
          <w:sz w:val="24"/>
          <w:szCs w:val="24"/>
        </w:rPr>
        <w:t xml:space="preserve">before</w:t>
      </w:r>
      <w:r>
        <w:rPr>
          <w:rFonts w:ascii="Times New Roman" w:cs="Times New Roman" w:eastAsia="Times New Roman" w:hAnsi="Times New Roman"/>
          <w:b w:val="false"/>
          <w:bCs w:val="false"/>
          <w:i w:val="false"/>
          <w:iCs w:val="false"/>
          <w:sz w:val="24"/>
          <w:szCs w:val="24"/>
        </w:rPr>
        <w:t xml:space="preserve"> a triggering event), event-triggered clip cutting/encoding, a storage/retention implementation, a </w:t>
      </w:r>
      <w:r>
        <w:rPr>
          <w:rFonts w:ascii="Consolas" w:cs="Consolas" w:eastAsia="Consolas" w:hAnsi="Consolas"/>
          <w:b w:val="false"/>
          <w:bCs w:val="false"/>
          <w:i w:val="false"/>
          <w:iCs w:val="false"/>
          <w:sz w:val="22"/>
          <w:szCs w:val="22"/>
        </w:rPr>
        <w:t xml:space="preserve">video_path</w:t>
      </w:r>
      <w:r>
        <w:rPr>
          <w:rFonts w:ascii="Times New Roman" w:cs="Times New Roman" w:eastAsia="Times New Roman" w:hAnsi="Times New Roman"/>
          <w:b w:val="false"/>
          <w:bCs w:val="false"/>
          <w:i w:val="false"/>
          <w:iCs w:val="false"/>
          <w:sz w:val="24"/>
          <w:szCs w:val="24"/>
        </w:rPr>
        <w:t xml:space="preserve">/</w:t>
      </w:r>
      <w:r>
        <w:rPr>
          <w:rFonts w:ascii="Consolas" w:cs="Consolas" w:eastAsia="Consolas" w:hAnsi="Consolas"/>
          <w:b w:val="false"/>
          <w:bCs w:val="false"/>
          <w:i w:val="false"/>
          <w:iCs w:val="false"/>
          <w:sz w:val="22"/>
          <w:szCs w:val="22"/>
        </w:rPr>
        <w:t xml:space="preserve">video_url</w:t>
      </w:r>
      <w:r>
        <w:rPr>
          <w:rFonts w:ascii="Times New Roman" w:cs="Times New Roman" w:eastAsia="Times New Roman" w:hAnsi="Times New Roman"/>
          <w:b w:val="false"/>
          <w:bCs w:val="false"/>
          <w:i w:val="false"/>
          <w:iCs w:val="false"/>
          <w:sz w:val="24"/>
          <w:szCs w:val="24"/>
        </w:rPr>
        <w:t xml:space="preserve"> schema column, and a byte-range-capable serving path for the video element — all documented as designed-but-not-built.</w:t>
      </w:r>
    </w:p>
    <w:p>
      <w:r>
        <w:br w:type="page"/>
      </w:r>
    </w:p>
    <w:p>
      <w:pPr>
        <w:pStyle w:val="Heading1"/>
        <w:spacing w:after="200" w:before="360"/>
      </w:pPr>
      <w:r>
        <w:t xml:space="preserve">4. Operational and Organizational Feasibility</w:t>
      </w:r>
    </w:p>
    <w:p>
      <w:pPr>
        <w:pStyle w:val="Heading2"/>
        <w:spacing w:after="160" w:before="280"/>
      </w:pPr>
      <w:r>
        <w:t xml:space="preserve">4.1 Teacher Interaction Model</w:t>
      </w:r>
    </w:p>
    <w:p>
      <w:pPr>
        <w:spacing w:after="160" w:line="276"/>
        <w:jc w:val="both"/>
      </w:pPr>
      <w:r>
        <w:rPr>
          <w:rFonts w:ascii="Times New Roman" w:cs="Times New Roman" w:eastAsia="Times New Roman" w:hAnsi="Times New Roman"/>
          <w:b w:val="false"/>
          <w:bCs w:val="false"/>
          <w:i w:val="false"/>
          <w:iCs w:val="false"/>
          <w:sz w:val="24"/>
          <w:szCs w:val="24"/>
        </w:rPr>
        <w:t xml:space="preserve">The admin UI's implemented information architecture — Dashboard, Events &amp; Logs, Event Detail, Head Count, Insights &amp; Statistics, plus a sidebar Detection Enable/Disable toggle and light/dark theme — already gives a concrete, testable answer to “what would a teacher actually click through.” </w:t>
      </w:r>
      <w:r>
        <w:rPr>
          <w:rFonts w:ascii="Times New Roman" w:cs="Times New Roman" w:eastAsia="Times New Roman" w:hAnsi="Times New Roman"/>
          <w:b w:val="false"/>
          <w:bCs w:val="false"/>
          <w:i/>
          <w:iCs/>
          <w:sz w:val="24"/>
          <w:szCs w:val="24"/>
        </w:rPr>
        <w:t xml:space="preserve">Status: Implemented (UI/UX only)</w:t>
      </w:r>
      <w:r>
        <w:rPr>
          <w:rFonts w:ascii="Times New Roman" w:cs="Times New Roman" w:eastAsia="Times New Roman" w:hAnsi="Times New Roman"/>
          <w:b w:val="false"/>
          <w:bCs w:val="false"/>
          <w:i w:val="false"/>
          <w:iCs w:val="false"/>
          <w:sz w:val="24"/>
          <w:szCs w:val="24"/>
        </w:rPr>
        <w:t xml:space="preserve">. Copy throughout is deliberately written to avoid real-time-alert framing; events are surfaced as a </w:t>
      </w:r>
      <w:r>
        <w:rPr>
          <w:rFonts w:ascii="Times New Roman" w:cs="Times New Roman" w:eastAsia="Times New Roman" w:hAnsi="Times New Roman"/>
          <w:b/>
          <w:bCs/>
          <w:i w:val="false"/>
          <w:iCs w:val="false"/>
          <w:sz w:val="24"/>
          <w:szCs w:val="24"/>
        </w:rPr>
        <w:t xml:space="preserve">periodically reviewed log</w:t>
      </w:r>
      <w:r>
        <w:rPr>
          <w:rFonts w:ascii="Times New Roman" w:cs="Times New Roman" w:eastAsia="Times New Roman" w:hAnsi="Times New Roman"/>
          <w:b w:val="false"/>
          <w:bCs w:val="false"/>
          <w:i w:val="false"/>
          <w:iCs w:val="false"/>
          <w:sz w:val="24"/>
          <w:szCs w:val="24"/>
        </w:rPr>
        <w:t xml:space="preserve">, not an instant notification stream. This is an operationally realistic framing for a teacher who is actively teaching and cannot watch a live feed — the UI does not even offer one (no live camera feed on the Dashboard, by explicit design decision).</w:t>
      </w:r>
    </w:p>
    <w:p>
      <w:pPr>
        <w:pStyle w:val="Heading2"/>
        <w:spacing w:after="160" w:before="280"/>
      </w:pPr>
      <w:r>
        <w:t xml:space="preserve">4.2 Workflow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Workflow</w:t>
            </w:r>
          </w:p>
        </w:tc>
        <w:tc>
          <w:tcPr>
            <w:tcW w:type="dxa" w:w="655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Feasibility Assessment</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Reviewing logged events after or between classes</w:t>
            </w:r>
          </w:p>
        </w:tc>
        <w:tc>
          <w:tcPr>
            <w:tcW w:type="dxa" w:w="655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Realistic — matches the “periodic review” framing and the existing filter/search/sort UI</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Reacting to an event in real time</w:t>
            </w:r>
          </w:p>
        </w:tc>
        <w:tc>
          <w:tcPr>
            <w:tcW w:type="dxa" w:w="655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the current design — the system explicitly avoids real-time-alert framing; a teacher mid-lesson is not expected to act on an event the instant it occurs</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Beginning/end-of-class head count</w:t>
            </w:r>
          </w:p>
        </w:tc>
        <w:tc>
          <w:tcPr>
            <w:tcW w:type="dxa" w:w="655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Automated by a background scheduler with no button press — operationally lower-friction than a manual-entry form, but the value it records is currently a random placeholder, not a real count</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Correcting a wrong automated head count</w:t>
            </w:r>
          </w:p>
        </w:tc>
        <w:tc>
          <w:tcPr>
            <w:tcW w:type="dxa" w:w="655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currently possible — manual entry was deliberately removed 2026-09-24 and no correction/override mechanism exists; an acknowledged new gap, not an oversight</w:t>
            </w:r>
          </w:p>
        </w:tc>
      </w:tr>
      <w:tr>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Disabling detection temporarily</w:t>
            </w:r>
          </w:p>
        </w:tc>
        <w:tc>
          <w:tcPr>
            <w:tcW w:type="dxa" w:w="655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Implemented as a persisted toggle; explicitly does not stop cameras, the app, or head counting — but “gates event generation only” is as far as the current design goes; exact backend scope still Under consideration</w:t>
            </w:r>
          </w:p>
        </w:tc>
      </w:tr>
    </w:tbl>
    <w:p>
      <w:pPr>
        <w:pStyle w:val="Heading2"/>
        <w:spacing w:after="160" w:before="280"/>
      </w:pPr>
      <w:r>
        <w:t xml:space="preserve">4.3 Deployment, Maintenance, and Support</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Camera installation</w:t>
      </w:r>
      <w:r>
        <w:rPr>
          <w:rFonts w:ascii="Times New Roman" w:cs="Times New Roman" w:eastAsia="Times New Roman" w:hAnsi="Times New Roman"/>
          <w:b w:val="false"/>
          <w:bCs w:val="false"/>
          <w:i w:val="false"/>
          <w:iCs w:val="false"/>
          <w:sz w:val="24"/>
          <w:szCs w:val="24"/>
        </w:rPr>
        <w:t xml:space="preserve">: ceiling and top-down mounting is specified only at a conceptual level; no installation procedure, bracket hardware, or cabling plan is documented (</w:t>
      </w:r>
      <w:r>
        <w:rPr>
          <w:rFonts w:ascii="Times New Roman" w:cs="Times New Roman" w:eastAsia="Times New Roman" w:hAnsi="Times New Roman"/>
          <w:b w:val="false"/>
          <w:bCs w:val="false"/>
          <w:i/>
          <w:iCs/>
          <w:sz w:val="24"/>
          <w:szCs w:val="24"/>
        </w:rPr>
        <w:t xml:space="preserve">Status: Unclear</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System maintenance</w:t>
      </w:r>
      <w:r>
        <w:rPr>
          <w:rFonts w:ascii="Times New Roman" w:cs="Times New Roman" w:eastAsia="Times New Roman" w:hAnsi="Times New Roman"/>
          <w:b w:val="false"/>
          <w:bCs w:val="false"/>
          <w:i w:val="false"/>
          <w:iCs w:val="false"/>
          <w:sz w:val="24"/>
          <w:szCs w:val="24"/>
        </w:rPr>
        <w:t xml:space="preserve">: no maintenance plan, update procedure, or backup strategy for the local SQLite database/evidence store is documented. Because hosting is local-only, the project also does not get a cloud provider's automatic backup/redundancy by default — a real operational trade-off of the cost-avoidance decision, not a free win (see Section 8).</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Technical support</w:t>
      </w:r>
      <w:r>
        <w:rPr>
          <w:rFonts w:ascii="Times New Roman" w:cs="Times New Roman" w:eastAsia="Times New Roman" w:hAnsi="Times New Roman"/>
          <w:b w:val="false"/>
          <w:bCs w:val="false"/>
          <w:i w:val="false"/>
          <w:iCs w:val="false"/>
          <w:sz w:val="24"/>
          <w:szCs w:val="24"/>
        </w:rPr>
        <w:t xml:space="preserve">: with a single-contributor development team and no CI/CD or automated test suite yet, troubleshooting a deployed pilot would currently fall on the same team that built it — realistic for a single-classroom capstone pilot, not yet realistic for a multi-classroom rollout.</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Deployment responsibility</w:t>
      </w:r>
      <w:r>
        <w:rPr>
          <w:rFonts w:ascii="Times New Roman" w:cs="Times New Roman" w:eastAsia="Times New Roman" w:hAnsi="Times New Roman"/>
          <w:b w:val="false"/>
          <w:bCs w:val="false"/>
          <w:i w:val="false"/>
          <w:iCs w:val="false"/>
          <w:sz w:val="24"/>
          <w:szCs w:val="24"/>
        </w:rPr>
        <w:t xml:space="preserve">: not formally assigned in any document — presumably the project team for a pilot, but no operating agreement with a specific school is recorded here.</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Reliability / failure handling</w:t>
      </w:r>
      <w:r>
        <w:rPr>
          <w:rFonts w:ascii="Times New Roman" w:cs="Times New Roman" w:eastAsia="Times New Roman" w:hAnsi="Times New Roman"/>
          <w:b w:val="false"/>
          <w:bCs w:val="false"/>
          <w:i w:val="false"/>
          <w:iCs w:val="false"/>
          <w:sz w:val="24"/>
          <w:szCs w:val="24"/>
        </w:rPr>
        <w:t xml:space="preserve">: the admin UI's scheduler is designed to fail safe (a caught exception resets status to “waiting” and retries next tick; a bad tick cannot crash the background thread). No equivalent failure-handling design exists yet for the (unbuilt) detection pipeline itself — camera disconnects, model-load failures, or storage-full conditions are not addressed anywhere.</w:t>
      </w:r>
    </w:p>
    <w:p>
      <w:pPr>
        <w:pStyle w:val="Heading2"/>
        <w:spacing w:after="160" w:before="280"/>
      </w:pPr>
      <w:r>
        <w:t xml:space="preserve">4.4 Teacher Acceptance</w:t>
      </w:r>
    </w:p>
    <w:p>
      <w:pPr>
        <w:spacing w:after="160" w:line="276"/>
        <w:jc w:val="both"/>
      </w:pPr>
      <w:r>
        <w:rPr>
          <w:rFonts w:ascii="Times New Roman" w:cs="Times New Roman" w:eastAsia="Times New Roman" w:hAnsi="Times New Roman"/>
          <w:b/>
          <w:bCs/>
          <w:i w:val="false"/>
          <w:iCs w:val="false"/>
          <w:sz w:val="24"/>
          <w:szCs w:val="24"/>
        </w:rPr>
        <w:t xml:space="preserve">No teacher acceptance, usability, or effectiveness data exists in this repository.</w:t>
      </w:r>
      <w:r>
        <w:rPr>
          <w:rFonts w:ascii="Times New Roman" w:cs="Times New Roman" w:eastAsia="Times New Roman" w:hAnsi="Times New Roman"/>
          <w:b w:val="false"/>
          <w:bCs w:val="false"/>
          <w:i w:val="false"/>
          <w:iCs w:val="false"/>
          <w:sz w:val="24"/>
          <w:szCs w:val="24"/>
        </w:rPr>
        <w:t xml:space="preserve"> The proposal's methodology calls for a pre-implementation survey (existing classroom-management difficulties) and a post-implementation survey (usability/effectiveness), both via a 5-point Likert instrument reviewed by expert teachers/IT professionals before administration. Neither survey has been run. This study makes </w:t>
      </w:r>
      <w:r>
        <w:rPr>
          <w:rFonts w:ascii="Times New Roman" w:cs="Times New Roman" w:eastAsia="Times New Roman" w:hAnsi="Times New Roman"/>
          <w:b/>
          <w:bCs/>
          <w:i w:val="false"/>
          <w:iCs w:val="false"/>
          <w:sz w:val="24"/>
          <w:szCs w:val="24"/>
        </w:rPr>
        <w:t xml:space="preserve">no claim</w:t>
      </w:r>
      <w:r>
        <w:rPr>
          <w:rFonts w:ascii="Times New Roman" w:cs="Times New Roman" w:eastAsia="Times New Roman" w:hAnsi="Times New Roman"/>
          <w:b w:val="false"/>
          <w:bCs w:val="false"/>
          <w:i w:val="false"/>
          <w:iCs w:val="false"/>
          <w:sz w:val="24"/>
          <w:szCs w:val="24"/>
        </w:rPr>
        <w:t xml:space="preserve"> about whether teachers would find the system usable, trustworthy, or worth the added classroom hardware — that is precisely what the (not-yet-executed) evaluation phase is designed to determine.</w:t>
      </w:r>
    </w:p>
    <w:p>
      <w:pPr>
        <w:pStyle w:val="Heading2"/>
        <w:spacing w:after="160" w:before="280"/>
      </w:pPr>
      <w:r>
        <w:t xml:space="preserve">4.5 What the System Explicitly Does Not Do</w:t>
      </w:r>
    </w:p>
    <w:p>
      <w:pPr>
        <w:spacing w:after="160" w:line="276"/>
        <w:jc w:val="both"/>
      </w:pPr>
      <w:r>
        <w:rPr>
          <w:rFonts w:ascii="Times New Roman" w:cs="Times New Roman" w:eastAsia="Times New Roman" w:hAnsi="Times New Roman"/>
          <w:b w:val="false"/>
          <w:bCs w:val="false"/>
          <w:i w:val="false"/>
          <w:iCs w:val="false"/>
          <w:sz w:val="24"/>
          <w:szCs w:val="24"/>
        </w:rPr>
        <w:t xml:space="preserve">Consistently across the proposal, the prototype paper, and every implementation note in the project's knowledge base, BantayAralan is designed as a decision-support tool: it surfaces evidence for teacher review and does not make disciplinary decisions, assign blame, or act autonomously. This is a constraint this study treats as a firm requirement, not an aspiration — see Section 6 for why this materially affects the system's regulatory posture.</w:t>
      </w:r>
    </w:p>
    <w:p>
      <w:r>
        <w:br w:type="page"/>
      </w:r>
    </w:p>
    <w:p>
      <w:pPr>
        <w:pStyle w:val="Heading1"/>
        <w:spacing w:after="200" w:before="360"/>
      </w:pPr>
      <w:r>
        <w:t xml:space="preserve">5. Economic / Financial Feasibility</w:t>
      </w:r>
    </w:p>
    <w:p>
      <w:pPr>
        <w:spacing w:after="160" w:line="276"/>
        <w:jc w:val="both"/>
      </w:pPr>
      <w:r>
        <w:rPr>
          <w:rFonts w:ascii="Times New Roman" w:cs="Times New Roman" w:eastAsia="Times New Roman" w:hAnsi="Times New Roman"/>
          <w:b w:val="false"/>
          <w:bCs w:val="false"/>
          <w:i w:val="false"/>
          <w:iCs w:val="false"/>
          <w:sz w:val="24"/>
          <w:szCs w:val="24"/>
        </w:rPr>
        <w:t xml:space="preserve">BantayAralan is a non-commercial, single-classroom academic prototype. </w:t>
      </w:r>
      <w:r>
        <w:rPr>
          <w:rFonts w:ascii="Times New Roman" w:cs="Times New Roman" w:eastAsia="Times New Roman" w:hAnsi="Times New Roman"/>
          <w:b/>
          <w:bCs/>
          <w:i w:val="false"/>
          <w:iCs w:val="false"/>
          <w:sz w:val="24"/>
          <w:szCs w:val="24"/>
        </w:rPr>
        <w:t xml:space="preserve">No ROI, revenue, profit, sales, or break-even figures are calculated below</w:t>
      </w:r>
      <w:r>
        <w:rPr>
          <w:rFonts w:ascii="Times New Roman" w:cs="Times New Roman" w:eastAsia="Times New Roman" w:hAnsi="Times New Roman"/>
          <w:b w:val="false"/>
          <w:bCs w:val="false"/>
          <w:i w:val="false"/>
          <w:iCs w:val="false"/>
          <w:sz w:val="24"/>
          <w:szCs w:val="24"/>
        </w:rPr>
        <w:t xml:space="preserve">, because there is no revenue stream, customer, or pricing model to analyze — inventing one would misrepresent the project. Instead, this section analyzes initial investment, recurring operating cost, cost avoidance from the local-hosting decision, and affordability for a single-classroom pilot.</w:t>
      </w:r>
    </w:p>
    <w:p>
      <w:pPr>
        <w:pStyle w:val="Heading2"/>
        <w:spacing w:after="160" w:before="280"/>
      </w:pPr>
      <w:r>
        <w:t xml:space="preserve">5.1 Initial Hardware Costs</w:t>
      </w:r>
    </w:p>
    <w:p>
      <w:pPr>
        <w:spacing w:after="160" w:line="276"/>
        <w:jc w:val="both"/>
      </w:pPr>
      <w:r>
        <w:rPr>
          <w:rFonts w:ascii="Times New Roman" w:cs="Times New Roman" w:eastAsia="Times New Roman" w:hAnsi="Times New Roman"/>
          <w:b w:val="false"/>
          <w:bCs w:val="false"/>
          <w:i w:val="false"/>
          <w:iCs w:val="false"/>
          <w:sz w:val="24"/>
          <w:szCs w:val="24"/>
        </w:rPr>
        <w:t xml:space="preserve">All prices below are </w:t>
      </w:r>
      <w:r>
        <w:rPr>
          <w:rFonts w:ascii="Times New Roman" w:cs="Times New Roman" w:eastAsia="Times New Roman" w:hAnsi="Times New Roman"/>
          <w:b/>
          <w:bCs/>
          <w:i w:val="false"/>
          <w:iCs w:val="false"/>
          <w:sz w:val="24"/>
          <w:szCs w:val="24"/>
        </w:rPr>
        <w:t xml:space="preserve">indicative Philippine retail listings</w:t>
      </w:r>
      <w:r>
        <w:rPr>
          <w:rFonts w:ascii="Times New Roman" w:cs="Times New Roman" w:eastAsia="Times New Roman" w:hAnsi="Times New Roman"/>
          <w:b w:val="false"/>
          <w:bCs w:val="false"/>
          <w:i w:val="false"/>
          <w:iCs w:val="false"/>
          <w:sz w:val="24"/>
          <w:szCs w:val="24"/>
        </w:rPr>
        <w:t xml:space="preserve">, not purchase-order quotes, checked on the date shown. Prices fluctuate with stock, promotions, and exchange rates; treat every figure as an estimate range, not a committed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532"/>
        <w:gridCol w:w="1191"/>
        <w:gridCol w:w="2042"/>
        <w:gridCol w:w="1191"/>
        <w:gridCol w:w="1532"/>
      </w:tblGrid>
      <w:tr>
        <w:trPr>
          <w:tblHeader/>
        </w:trPr>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Item</w:t>
            </w:r>
          </w:p>
        </w:tc>
        <w:tc>
          <w:tcPr>
            <w:tcW w:type="dxa" w:w="153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Confirmed?</w:t>
            </w:r>
          </w:p>
        </w:tc>
        <w:tc>
          <w:tcPr>
            <w:tcW w:type="dxa" w:w="1191"/>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Qty (assumption)</w:t>
            </w:r>
          </w:p>
        </w:tc>
        <w:tc>
          <w:tcPr>
            <w:tcW w:type="dxa" w:w="204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Unit Cost (PHP)</w:t>
            </w:r>
          </w:p>
        </w:tc>
        <w:tc>
          <w:tcPr>
            <w:tcW w:type="dxa" w:w="1191"/>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Est. Subtotal</w:t>
            </w:r>
          </w:p>
        </w:tc>
        <w:tc>
          <w:tcPr>
            <w:tcW w:type="dxa" w:w="153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Source / Date</w:t>
            </w:r>
          </w:p>
        </w:tc>
      </w:tr>
      <w:tr>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TP-Link VIGI C320I camera</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(model); quantity open</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1–2 (role-coverage unresolved)</w:t>
            </w:r>
          </w:p>
        </w:tc>
        <w:tc>
          <w:tcPr>
            <w:tcW w:type="dxa" w:w="20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₱1,390 (discounted from ₱1,690; out-of-stock at time of check)</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₱1,390–₱2,780</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Bermorzone PH listing; 2026-09-26</w:t>
            </w:r>
          </w:p>
        </w:tc>
      </w:tr>
      <w:tr>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TP-Link TL-SG1005LP PoE switch</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20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≈₱1,650 (indicative)</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≈₱1,650</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BigGo PH aggregator; 2026-09-26</w:t>
            </w:r>
          </w:p>
        </w:tc>
      </w:tr>
      <w:tr>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Processing PC (already owned — Ryzen 5 5600 / RTX 2060 / 16 GB RAM / 256 GB SSD + 1 TB HDD)</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 not a new acquisition cost</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20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RTX 2060 alone: ₱7,800–₱11,000 secondhand, ₱14,895–₱22,999 new; comparable full build (proxy, RTX 3050/4060-class pricing): ≈₱35,000–₱55,000</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₱0 actual cost to the project</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Carousell PH; PriceMe PH; Unicorp PH 2026 guide; PC Express; 2026-09-26</w:t>
            </w:r>
          </w:p>
        </w:tc>
      </w:tr>
      <w:tr>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Ethernet cabling, mounts, connectors</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documented</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c>
          <w:tcPr>
            <w:tcW w:type="dxa" w:w="20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quoted</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quoted</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project-specific quote exists</w:t>
            </w:r>
          </w:p>
        </w:tc>
      </w:tr>
      <w:tr>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Installation/mounting labor</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documented</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c>
          <w:tcPr>
            <w:tcW w:type="dxa" w:w="20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quoted</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quoted</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Site- and installer-dependent</w:t>
            </w:r>
          </w:p>
        </w:tc>
      </w:tr>
      <w:tr>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Software/development cost</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N/A</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c>
          <w:tcPr>
            <w:tcW w:type="dxa" w:w="20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₱0 (all free/open-source: Python, OpenCV, YOLOv8, ByteTrack, SQLite, Flask)</w:t>
            </w:r>
          </w:p>
        </w:tc>
        <w:tc>
          <w:tcPr>
            <w:tcW w:type="dxa" w:w="119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₱0</w:t>
            </w:r>
          </w:p>
        </w:tc>
        <w:tc>
          <w:tcPr>
            <w:tcW w:type="dxa" w:w="153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r>
    </w:tbl>
    <w:p>
      <w:pPr>
        <w:spacing w:after="200"/>
      </w:pPr>
    </w:p>
    <w:p>
      <w:pPr>
        <w:spacing w:after="160" w:line="276"/>
        <w:jc w:val="both"/>
      </w:pPr>
      <w:r>
        <w:rPr>
          <w:rFonts w:ascii="Times New Roman" w:cs="Times New Roman" w:eastAsia="Times New Roman" w:hAnsi="Times New Roman"/>
          <w:b/>
          <w:bCs/>
          <w:i w:val="false"/>
          <w:iCs w:val="false"/>
          <w:sz w:val="24"/>
          <w:szCs w:val="24"/>
        </w:rPr>
        <w:t xml:space="preserve">Reading this table honestly:</w:t>
      </w:r>
      <w:r>
        <w:rPr>
          <w:rFonts w:ascii="Times New Roman" w:cs="Times New Roman" w:eastAsia="Times New Roman" w:hAnsi="Times New Roman"/>
          <w:b w:val="false"/>
          <w:bCs w:val="false"/>
          <w:i w:val="false"/>
          <w:iCs w:val="false"/>
          <w:sz w:val="24"/>
          <w:szCs w:val="24"/>
        </w:rPr>
        <w:t xml:space="preserve"> the only two hardware line items that represent a genuinely </w:t>
      </w:r>
      <w:r>
        <w:rPr>
          <w:rFonts w:ascii="Times New Roman" w:cs="Times New Roman" w:eastAsia="Times New Roman" w:hAnsi="Times New Roman"/>
          <w:b w:val="false"/>
          <w:bCs w:val="false"/>
          <w:i/>
          <w:iCs/>
          <w:sz w:val="24"/>
          <w:szCs w:val="24"/>
        </w:rPr>
        <w:t xml:space="preserve">new</w:t>
      </w:r>
      <w:r>
        <w:rPr>
          <w:rFonts w:ascii="Times New Roman" w:cs="Times New Roman" w:eastAsia="Times New Roman" w:hAnsi="Times New Roman"/>
          <w:b w:val="false"/>
          <w:bCs w:val="false"/>
          <w:i w:val="false"/>
          <w:iCs w:val="false"/>
          <w:sz w:val="24"/>
          <w:szCs w:val="24"/>
        </w:rPr>
        <w:t xml:space="preserve"> peso outlay are the camera and the switch — together on the order of </w:t>
      </w:r>
      <w:r>
        <w:rPr>
          <w:rFonts w:ascii="Times New Roman" w:cs="Times New Roman" w:eastAsia="Times New Roman" w:hAnsi="Times New Roman"/>
          <w:b/>
          <w:bCs/>
          <w:i w:val="false"/>
          <w:iCs w:val="false"/>
          <w:sz w:val="24"/>
          <w:szCs w:val="24"/>
        </w:rPr>
        <w:t xml:space="preserve">₱3,000–₱4,400</w:t>
      </w:r>
      <w:r>
        <w:rPr>
          <w:rFonts w:ascii="Times New Roman" w:cs="Times New Roman" w:eastAsia="Times New Roman" w:hAnsi="Times New Roman"/>
          <w:b w:val="false"/>
          <w:bCs w:val="false"/>
          <w:i w:val="false"/>
          <w:iCs w:val="false"/>
          <w:sz w:val="24"/>
          <w:szCs w:val="24"/>
        </w:rPr>
        <w:t xml:space="preserve"> for a 1–2 camera pilot. The entire processing PC (CPU, GPU, RAM, storage) is already owned by the project team, so it adds </w:t>
      </w:r>
      <w:r>
        <w:rPr>
          <w:rFonts w:ascii="Times New Roman" w:cs="Times New Roman" w:eastAsia="Times New Roman" w:hAnsi="Times New Roman"/>
          <w:b/>
          <w:bCs/>
          <w:i w:val="false"/>
          <w:iCs w:val="false"/>
          <w:sz w:val="24"/>
          <w:szCs w:val="24"/>
        </w:rPr>
        <w:t xml:space="preserve">₱0</w:t>
      </w:r>
      <w:r>
        <w:rPr>
          <w:rFonts w:ascii="Times New Roman" w:cs="Times New Roman" w:eastAsia="Times New Roman" w:hAnsi="Times New Roman"/>
          <w:b w:val="false"/>
          <w:bCs w:val="false"/>
          <w:i w:val="false"/>
          <w:iCs w:val="false"/>
          <w:sz w:val="24"/>
          <w:szCs w:val="24"/>
        </w:rPr>
        <w:t xml:space="preserve"> to the project's actual budget; its market value is shown only so the total system value is not understated, not as a cost the project needs to fund. The largest true unknowns remaining are installation/mounting labor and cabling, both undocumented — this study does not invent numbers to fill that gap.</w:t>
      </w:r>
    </w:p>
    <w:p>
      <w:pPr>
        <w:pStyle w:val="Heading2"/>
        <w:spacing w:after="160" w:before="280"/>
      </w:pPr>
      <w:r>
        <w:t xml:space="preserve">5.2 Recurring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5242"/>
        <w:gridCol w:w="1872"/>
      </w:tblGrid>
      <w:tr>
        <w:trPr>
          <w:tblHeader/>
        </w:trPr>
        <w:tc>
          <w:tcPr>
            <w:tcW w:type="dxa" w:w="2246"/>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Category</w:t>
            </w:r>
          </w:p>
        </w:tc>
        <w:tc>
          <w:tcPr>
            <w:tcW w:type="dxa" w:w="524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Assessment</w:t>
            </w:r>
          </w:p>
        </w:tc>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Status</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Electricity</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 single PC + 1–2 low-power PoE cameras is a modest, continuous classroom-outlet load; no metering or figure is documented</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Unclear (order-of-magnitude plausible, not quantified)</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Maintenance/replacement</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maintenance contract or replacement-cycle plan documented</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Storage (local)</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Local disk only — no recurring storage-service fee; capacity is a one-time hardware cost bounded by the existing PC's drives</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(local, not cloud)</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Networking</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ISP/data-plan cost documented; the architecture runs on a single on-premises machine with no cloud component, implying no data-egress cost either</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w:t>
            </w:r>
          </w:p>
        </w:tc>
      </w:tr>
      <w:tr>
        <w:tc>
          <w:tcPr>
            <w:tcW w:type="dxa" w:w="2246"/>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Cloud database / object storage (avoided)</w:t>
            </w:r>
          </w:p>
        </w:tc>
        <w:tc>
          <w:tcPr>
            <w:tcW w:type="dxa" w:w="524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See Section 5.3</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Working decision — deliberately avoided</w:t>
            </w:r>
          </w:p>
        </w:tc>
      </w:tr>
    </w:tbl>
    <w:p>
      <w:pPr>
        <w:pStyle w:val="Heading2"/>
        <w:spacing w:after="160" w:before="280"/>
      </w:pPr>
      <w:r>
        <w:t xml:space="preserve">5.3 Cost Avoidance from Local Hosting</w:t>
      </w:r>
    </w:p>
    <w:p>
      <w:pPr>
        <w:spacing w:after="160" w:line="276"/>
        <w:jc w:val="both"/>
      </w:pPr>
      <w:r>
        <w:rPr>
          <w:rFonts w:ascii="Times New Roman" w:cs="Times New Roman" w:eastAsia="Times New Roman" w:hAnsi="Times New Roman"/>
          <w:b w:val="false"/>
          <w:bCs w:val="false"/>
          <w:i w:val="false"/>
          <w:iCs w:val="false"/>
          <w:sz w:val="24"/>
          <w:szCs w:val="24"/>
        </w:rPr>
        <w:t xml:space="preserve">The project team's explicit, stated reason for hosting the database and evidence object storage locally rather than in the cloud is to avoid recurring hosting costs. As a concrete, sourced anchor for what is being avoided (illustrative only — BantayAralan's actual data volume is not known, so this is not a claim about BantayAralan's own future bill):</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Amazon S3 Standard storage: </w:t>
      </w:r>
      <w:r>
        <w:rPr>
          <w:rFonts w:ascii="Times New Roman" w:cs="Times New Roman" w:eastAsia="Times New Roman" w:hAnsi="Times New Roman"/>
          <w:b/>
          <w:bCs/>
          <w:i w:val="false"/>
          <w:iCs w:val="false"/>
          <w:sz w:val="24"/>
          <w:szCs w:val="24"/>
        </w:rPr>
        <w:t xml:space="preserve">US$0.023 per GB per month</w:t>
      </w:r>
      <w:r>
        <w:rPr>
          <w:rFonts w:ascii="Times New Roman" w:cs="Times New Roman" w:eastAsia="Times New Roman" w:hAnsi="Times New Roman"/>
          <w:b w:val="false"/>
          <w:bCs w:val="false"/>
          <w:i w:val="false"/>
          <w:iCs w:val="false"/>
          <w:sz w:val="24"/>
          <w:szCs w:val="24"/>
        </w:rPr>
        <w:t xml:space="preserve"> for the first 50 TB (Amazon Web Services, n.d.-a) — even a modest multi-month archive of classroom evidence clips would accrue a small but </w:t>
      </w:r>
      <w:r>
        <w:rPr>
          <w:rFonts w:ascii="Times New Roman" w:cs="Times New Roman" w:eastAsia="Times New Roman" w:hAnsi="Times New Roman"/>
          <w:b w:val="false"/>
          <w:bCs w:val="false"/>
          <w:i/>
          <w:iCs/>
          <w:sz w:val="24"/>
          <w:szCs w:val="24"/>
        </w:rPr>
        <w:t xml:space="preserve">recurring, indefinite</w:t>
      </w:r>
      <w:r>
        <w:rPr>
          <w:rFonts w:ascii="Times New Roman" w:cs="Times New Roman" w:eastAsia="Times New Roman" w:hAnsi="Times New Roman"/>
          <w:b w:val="false"/>
          <w:bCs w:val="false"/>
          <w:i w:val="false"/>
          <w:iCs w:val="false"/>
          <w:sz w:val="24"/>
          <w:szCs w:val="24"/>
        </w:rPr>
        <w:t xml:space="preserve"> charge under a cloud object-storage model, versus a one-time local-disk cost under the current decision.</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A minimal managed relational database instance (e.g., AWS RDS db.t3.micro) runs </w:t>
      </w:r>
      <w:r>
        <w:rPr>
          <w:rFonts w:ascii="Times New Roman" w:cs="Times New Roman" w:eastAsia="Times New Roman" w:hAnsi="Times New Roman"/>
          <w:b/>
          <w:bCs/>
          <w:i w:val="false"/>
          <w:iCs w:val="false"/>
          <w:sz w:val="24"/>
          <w:szCs w:val="24"/>
        </w:rPr>
        <w:t xml:space="preserve">approximately US$8.76–US$12.41 per month</w:t>
      </w:r>
      <w:r>
        <w:rPr>
          <w:rFonts w:ascii="Times New Roman" w:cs="Times New Roman" w:eastAsia="Times New Roman" w:hAnsi="Times New Roman"/>
          <w:b w:val="false"/>
          <w:bCs w:val="false"/>
          <w:i w:val="false"/>
          <w:iCs w:val="false"/>
          <w:sz w:val="24"/>
          <w:szCs w:val="24"/>
        </w:rPr>
        <w:t xml:space="preserve"> on-demand (Amazon Web Services, n.d.-b) — again illustrative of the </w:t>
      </w:r>
      <w:r>
        <w:rPr>
          <w:rFonts w:ascii="Times New Roman" w:cs="Times New Roman" w:eastAsia="Times New Roman" w:hAnsi="Times New Roman"/>
          <w:b w:val="false"/>
          <w:bCs w:val="false"/>
          <w:i/>
          <w:iCs/>
          <w:sz w:val="24"/>
          <w:szCs w:val="24"/>
        </w:rPr>
        <w:t xml:space="preserve">category</w:t>
      </w:r>
      <w:r>
        <w:rPr>
          <w:rFonts w:ascii="Times New Roman" w:cs="Times New Roman" w:eastAsia="Times New Roman" w:hAnsi="Times New Roman"/>
          <w:b w:val="false"/>
          <w:bCs w:val="false"/>
          <w:i w:val="false"/>
          <w:iCs w:val="false"/>
          <w:sz w:val="24"/>
          <w:szCs w:val="24"/>
        </w:rPr>
        <w:t xml:space="preserve"> of recurring cost a cloud-hosted equivalent of the current SQLite setup would introduce, not a quote for this project.</w:t>
      </w:r>
    </w:p>
    <w:p>
      <w:pPr>
        <w:spacing w:after="160" w:line="276"/>
        <w:jc w:val="both"/>
      </w:pPr>
      <w:r>
        <w:rPr>
          <w:rFonts w:ascii="Times New Roman" w:cs="Times New Roman" w:eastAsia="Times New Roman" w:hAnsi="Times New Roman"/>
          <w:b/>
          <w:bCs/>
          <w:i w:val="false"/>
          <w:iCs w:val="false"/>
          <w:sz w:val="24"/>
          <w:szCs w:val="24"/>
        </w:rPr>
        <w:t xml:space="preserve">Trade-off, stated plainly (not just the upside):</w:t>
      </w:r>
      <w:r>
        <w:rPr>
          <w:rFonts w:ascii="Times New Roman" w:cs="Times New Roman" w:eastAsia="Times New Roman" w:hAnsi="Times New Roman"/>
          <w:b w:val="false"/>
          <w:bCs w:val="false"/>
          <w:i w:val="false"/>
          <w:iCs w:val="false"/>
          <w:sz w:val="24"/>
          <w:szCs w:val="24"/>
        </w:rPr>
        <w:t xml:space="preserve"> local hosting also means the project does not get a cloud provider's built-in redundancy, geographic backup, or managed-failover — if the local disk fails, the project's own backup discipline (currently undocumented) is the only protection against data loss. Cost avoidance and reliability are in tension here; this study does not resolve that trade-off, only names it (see Section 8, risk R-9).</w:t>
      </w:r>
    </w:p>
    <w:p>
      <w:pPr>
        <w:pStyle w:val="Heading2"/>
        <w:spacing w:after="160" w:before="280"/>
      </w:pPr>
      <w:r>
        <w:t xml:space="preserve">5.4 Affordability and Institutional Sustainability</w:t>
      </w:r>
    </w:p>
    <w:p>
      <w:pPr>
        <w:spacing w:after="160" w:line="276"/>
        <w:jc w:val="both"/>
      </w:pPr>
      <w:r>
        <w:rPr>
          <w:rFonts w:ascii="Times New Roman" w:cs="Times New Roman" w:eastAsia="Times New Roman" w:hAnsi="Times New Roman"/>
          <w:b w:val="false"/>
          <w:bCs w:val="false"/>
          <w:i w:val="false"/>
          <w:iCs w:val="false"/>
          <w:sz w:val="24"/>
          <w:szCs w:val="24"/>
        </w:rPr>
        <w:t xml:space="preserve">For a single-classroom capstone pilot, the sourced hardware total (camera(s) + switch, excluding an already-owned processing PC) is on the order of a few thousand pesos — affordable for a student capstone budget. Scaling to multiple classrooms would multiply the camera/switch cost roughly linearly, while the already-avoided cloud database/storage cost stays avoided regardless of scale, up to whatever point local processing/storage capacity is exceeded — that crossover point is not analyzed here, since no multi-classroom deployment plan exists in the repository (</w:t>
      </w:r>
      <w:r>
        <w:rPr>
          <w:rFonts w:ascii="Times New Roman" w:cs="Times New Roman" w:eastAsia="Times New Roman" w:hAnsi="Times New Roman"/>
          <w:b w:val="false"/>
          <w:bCs w:val="false"/>
          <w:i/>
          <w:iCs/>
          <w:sz w:val="24"/>
          <w:szCs w:val="24"/>
        </w:rPr>
        <w:t xml:space="preserve">Status: Unclear</w:t>
      </w:r>
      <w:r>
        <w:rPr>
          <w:rFonts w:ascii="Times New Roman" w:cs="Times New Roman" w:eastAsia="Times New Roman" w:hAnsi="Times New Roman"/>
          <w:b w:val="false"/>
          <w:bCs w:val="false"/>
          <w:i w:val="false"/>
          <w:iCs w:val="false"/>
          <w:sz w:val="24"/>
          <w:szCs w:val="24"/>
        </w:rPr>
        <w:t xml:space="preserve">).</w:t>
      </w:r>
    </w:p>
    <w:p>
      <w:pPr>
        <w:spacing w:after="160" w:line="276"/>
        <w:jc w:val="both"/>
      </w:pPr>
      <w:r>
        <w:rPr>
          <w:rFonts w:ascii="Times New Roman" w:cs="Times New Roman" w:eastAsia="Times New Roman" w:hAnsi="Times New Roman"/>
          <w:b w:val="false"/>
          <w:bCs w:val="false"/>
          <w:i w:val="false"/>
          <w:iCs w:val="false"/>
          <w:sz w:val="24"/>
          <w:szCs w:val="24"/>
        </w:rPr>
        <w:t xml:space="preserve">No conventional ROI/payback-period calculation is presented, because there is no revenue or cost-savings-to-the-institution figure documented anywhere in this repository to calculate one from; asserting one would be fabrication.</w:t>
      </w:r>
    </w:p>
    <w:p>
      <w:r>
        <w:br w:type="page"/>
      </w:r>
    </w:p>
    <w:p>
      <w:pPr>
        <w:pStyle w:val="Heading1"/>
        <w:spacing w:after="200" w:before="360"/>
      </w:pPr>
      <w:r>
        <w:t xml:space="preserve">6. Legal and Regulatory Feasibility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FFF3CD" w:val="clear"/>
            <w:tcMar>
              <w:top w:type="dxa" w:w="120"/>
              <w:left w:type="dxa" w:w="160"/>
              <w:bottom w:type="dxa" w:w="120"/>
              <w:right w:type="dxa" w:w="160"/>
            </w:tcMar>
          </w:tcPr>
          <w:p>
            <w:pPr>
              <w:spacing w:after="80" w:line="260"/>
              <w:jc w:val="both"/>
            </w:pPr>
            <w:r>
              <w:rPr>
                <w:rFonts w:ascii="Times New Roman" w:cs="Times New Roman" w:eastAsia="Times New Roman" w:hAnsi="Times New Roman"/>
                <w:b/>
                <w:bCs/>
                <w:i w:val="false"/>
                <w:iCs w:val="false"/>
                <w:sz w:val="22"/>
                <w:szCs w:val="22"/>
              </w:rPr>
              <w:t xml:space="preserve">This is not legal advice.</w:t>
            </w:r>
            <w:r>
              <w:rPr>
                <w:rFonts w:ascii="Times New Roman" w:cs="Times New Roman" w:eastAsia="Times New Roman" w:hAnsi="Times New Roman"/>
                <w:b w:val="false"/>
                <w:bCs w:val="false"/>
                <w:i w:val="false"/>
                <w:iCs w:val="false"/>
                <w:sz w:val="22"/>
                <w:szCs w:val="22"/>
              </w:rPr>
              <w:t xml:space="preserve"> This section identifies which Philippine legal frameworks are relevant and what they generally require, based on publicly available guidance current as of the dates cited. Final compliance determinations for an actual classroom deployment require review by Holy Angel University's legal/ethics office, the thesis adviser, and (per the target school's policy) the host school's own data protection officer.</w:t>
            </w:r>
          </w:p>
        </w:tc>
      </w:tr>
    </w:tbl>
    <w:p>
      <w:pPr>
        <w:spacing w:after="200"/>
      </w:pPr>
    </w:p>
    <w:p>
      <w:pPr>
        <w:pStyle w:val="Heading2"/>
        <w:spacing w:after="160" w:before="280"/>
      </w:pPr>
      <w:r>
        <w:t xml:space="preserve">6.1 The Core Legal Fact: CCTV/Camera Capture of a Classroom Is Regulated Personal-Data Processing</w:t>
      </w:r>
    </w:p>
    <w:p>
      <w:pPr>
        <w:spacing w:after="160" w:line="276"/>
        <w:jc w:val="both"/>
      </w:pPr>
      <w:r>
        <w:rPr>
          <w:rFonts w:ascii="Times New Roman" w:cs="Times New Roman" w:eastAsia="Times New Roman" w:hAnsi="Times New Roman"/>
          <w:b w:val="false"/>
          <w:bCs w:val="false"/>
          <w:i w:val="false"/>
          <w:iCs w:val="false"/>
          <w:sz w:val="24"/>
          <w:szCs w:val="24"/>
        </w:rPr>
        <w:t xml:space="preserve">Under the Philippine </w:t>
      </w:r>
      <w:r>
        <w:rPr>
          <w:rFonts w:ascii="Times New Roman" w:cs="Times New Roman" w:eastAsia="Times New Roman" w:hAnsi="Times New Roman"/>
          <w:b/>
          <w:bCs/>
          <w:i w:val="false"/>
          <w:iCs w:val="false"/>
          <w:sz w:val="24"/>
          <w:szCs w:val="24"/>
        </w:rPr>
        <w:t xml:space="preserve">Data Privacy Act of 2012 (Republic Act No. 10173)</w:t>
      </w:r>
      <w:r>
        <w:rPr>
          <w:rFonts w:ascii="Times New Roman" w:cs="Times New Roman" w:eastAsia="Times New Roman" w:hAnsi="Times New Roman"/>
          <w:b w:val="false"/>
          <w:bCs w:val="false"/>
          <w:i w:val="false"/>
          <w:iCs w:val="false"/>
          <w:sz w:val="24"/>
          <w:szCs w:val="24"/>
        </w:rPr>
        <w:t xml:space="preserve">, CCTV/camera footage that can identify a person — including students, teachers, staff, or visitors captured incidentally — is personal data, and recording, storing, viewing, or otherwise processing it is a regulated activity (Republic of the Philippines, 2012; Official Gazette, 2012; Respicio &amp; Co., n.d.-a). This applies </w:t>
      </w:r>
      <w:r>
        <w:rPr>
          <w:rFonts w:ascii="Times New Roman" w:cs="Times New Roman" w:eastAsia="Times New Roman" w:hAnsi="Times New Roman"/>
          <w:b/>
          <w:bCs/>
          <w:i w:val="false"/>
          <w:iCs w:val="false"/>
          <w:sz w:val="24"/>
          <w:szCs w:val="24"/>
        </w:rPr>
        <w:t xml:space="preserve">regardless of whether the system performs facial recognition</w:t>
      </w:r>
      <w:r>
        <w:rPr>
          <w:rFonts w:ascii="Times New Roman" w:cs="Times New Roman" w:eastAsia="Times New Roman" w:hAnsi="Times New Roman"/>
          <w:b w:val="false"/>
          <w:bCs w:val="false"/>
          <w:i w:val="false"/>
          <w:iCs w:val="false"/>
          <w:sz w:val="24"/>
          <w:szCs w:val="24"/>
        </w:rPr>
        <w:t xml:space="preserve"> — a camera that merely records identifiable people in frame is already processing personal data under the Act, even if BantayAralan's own analysis layer never attempts identification.</w:t>
      </w:r>
    </w:p>
    <w:p>
      <w:pPr>
        <w:pStyle w:val="Heading2"/>
        <w:spacing w:after="160" w:before="280"/>
      </w:pPr>
      <w:r>
        <w:t xml:space="preserve">6.2 NPC Circular No. 2024-02 (CCTV Systems)</w:t>
      </w:r>
    </w:p>
    <w:p>
      <w:pPr>
        <w:spacing w:after="160" w:line="276"/>
        <w:jc w:val="both"/>
      </w:pPr>
      <w:r>
        <w:rPr>
          <w:rFonts w:ascii="Times New Roman" w:cs="Times New Roman" w:eastAsia="Times New Roman" w:hAnsi="Times New Roman"/>
          <w:b w:val="false"/>
          <w:bCs w:val="false"/>
          <w:i w:val="false"/>
          <w:iCs w:val="false"/>
          <w:sz w:val="24"/>
          <w:szCs w:val="24"/>
        </w:rPr>
        <w:t xml:space="preserve">The National Privacy Commission's current framework for CCTV use — NPC Circular No. 2024-02, effective 27 August 2024, superseding the earlier NPC Advisory No. 2020-04 — requires data controllers operating CCTV systems to (National Privacy Commission, 2024; Global Compliance News, 2020; DivinaLaw, n.d.):</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Display </w:t>
      </w:r>
      <w:r>
        <w:rPr>
          <w:rFonts w:ascii="Times New Roman" w:cs="Times New Roman" w:eastAsia="Times New Roman" w:hAnsi="Times New Roman"/>
          <w:b/>
          <w:bCs/>
          <w:i w:val="false"/>
          <w:iCs w:val="false"/>
          <w:sz w:val="24"/>
          <w:szCs w:val="24"/>
        </w:rPr>
        <w:t xml:space="preserve">prominent notices</w:t>
      </w:r>
      <w:r>
        <w:rPr>
          <w:rFonts w:ascii="Times New Roman" w:cs="Times New Roman" w:eastAsia="Times New Roman" w:hAnsi="Times New Roman"/>
          <w:b w:val="false"/>
          <w:bCs w:val="false"/>
          <w:i w:val="false"/>
          <w:iCs w:val="false"/>
          <w:sz w:val="24"/>
          <w:szCs w:val="24"/>
        </w:rPr>
        <w:t xml:space="preserve"> in areas under surveillance;</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Observe </w:t>
      </w:r>
      <w:r>
        <w:rPr>
          <w:rFonts w:ascii="Times New Roman" w:cs="Times New Roman" w:eastAsia="Times New Roman" w:hAnsi="Times New Roman"/>
          <w:b/>
          <w:bCs/>
          <w:i w:val="false"/>
          <w:iCs w:val="false"/>
          <w:sz w:val="24"/>
          <w:szCs w:val="24"/>
        </w:rPr>
        <w:t xml:space="preserve">transparency, legitimate purpose, and proportionality</w:t>
      </w:r>
      <w:r>
        <w:rPr>
          <w:rFonts w:ascii="Times New Roman" w:cs="Times New Roman" w:eastAsia="Times New Roman" w:hAnsi="Times New Roman"/>
          <w:b w:val="false"/>
          <w:bCs w:val="false"/>
          <w:i w:val="false"/>
          <w:iCs w:val="false"/>
          <w:sz w:val="24"/>
          <w:szCs w:val="24"/>
        </w:rPr>
        <w:t xml:space="preserve">;</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Establish </w:t>
      </w:r>
      <w:r>
        <w:rPr>
          <w:rFonts w:ascii="Times New Roman" w:cs="Times New Roman" w:eastAsia="Times New Roman" w:hAnsi="Times New Roman"/>
          <w:b/>
          <w:bCs/>
          <w:i w:val="false"/>
          <w:iCs w:val="false"/>
          <w:sz w:val="24"/>
          <w:szCs w:val="24"/>
        </w:rPr>
        <w:t xml:space="preserve">clear policies on footage retention</w:t>
      </w:r>
      <w:r>
        <w:rPr>
          <w:rFonts w:ascii="Times New Roman" w:cs="Times New Roman" w:eastAsia="Times New Roman" w:hAnsi="Times New Roman"/>
          <w:b w:val="false"/>
          <w:bCs w:val="false"/>
          <w:i w:val="false"/>
          <w:iCs w:val="false"/>
          <w:sz w:val="24"/>
          <w:szCs w:val="24"/>
        </w:rPr>
        <w:t xml:space="preserve">, access requests, and data-breach handling;</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Conduct </w:t>
      </w:r>
      <w:r>
        <w:rPr>
          <w:rFonts w:ascii="Times New Roman" w:cs="Times New Roman" w:eastAsia="Times New Roman" w:hAnsi="Times New Roman"/>
          <w:b/>
          <w:bCs/>
          <w:i w:val="false"/>
          <w:iCs w:val="false"/>
          <w:sz w:val="24"/>
          <w:szCs w:val="24"/>
        </w:rPr>
        <w:t xml:space="preserve">regular privacy impact assessments</w:t>
      </w:r>
      <w:r>
        <w:rPr>
          <w:rFonts w:ascii="Times New Roman" w:cs="Times New Roman" w:eastAsia="Times New Roman" w:hAnsi="Times New Roman"/>
          <w:b w:val="false"/>
          <w:bCs w:val="false"/>
          <w:i w:val="false"/>
          <w:iCs w:val="false"/>
          <w:sz w:val="24"/>
          <w:szCs w:val="24"/>
        </w:rPr>
        <w:t xml:space="preserve">; and</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Maintain </w:t>
      </w:r>
      <w:r>
        <w:rPr>
          <w:rFonts w:ascii="Times New Roman" w:cs="Times New Roman" w:eastAsia="Times New Roman" w:hAnsi="Times New Roman"/>
          <w:b/>
          <w:bCs/>
          <w:i w:val="false"/>
          <w:iCs w:val="false"/>
          <w:sz w:val="24"/>
          <w:szCs w:val="24"/>
        </w:rPr>
        <w:t xml:space="preserve">accountability and security measures</w:t>
      </w:r>
      <w:r>
        <w:rPr>
          <w:rFonts w:ascii="Times New Roman" w:cs="Times New Roman" w:eastAsia="Times New Roman" w:hAnsi="Times New Roman"/>
          <w:b w:val="false"/>
          <w:bCs w:val="false"/>
          <w:i w:val="false"/>
          <w:iCs w:val="false"/>
          <w:sz w:val="24"/>
          <w:szCs w:val="24"/>
        </w:rPr>
        <w:t xml:space="preserve"> over the system.</w:t>
      </w:r>
    </w:p>
    <w:p>
      <w:pPr>
        <w:spacing w:after="160" w:line="276"/>
        <w:jc w:val="both"/>
      </w:pPr>
      <w:r>
        <w:rPr>
          <w:rFonts w:ascii="Times New Roman" w:cs="Times New Roman" w:eastAsia="Times New Roman" w:hAnsi="Times New Roman"/>
          <w:b w:val="false"/>
          <w:bCs w:val="false"/>
          <w:i w:val="false"/>
          <w:iCs w:val="false"/>
          <w:sz w:val="24"/>
          <w:szCs w:val="24"/>
        </w:rPr>
        <w:t xml:space="preserve">Mapped against the current project state: BantayAralan has </w:t>
      </w:r>
      <w:r>
        <w:rPr>
          <w:rFonts w:ascii="Times New Roman" w:cs="Times New Roman" w:eastAsia="Times New Roman" w:hAnsi="Times New Roman"/>
          <w:b/>
          <w:bCs/>
          <w:i w:val="false"/>
          <w:iCs w:val="false"/>
          <w:sz w:val="24"/>
          <w:szCs w:val="24"/>
        </w:rPr>
        <w:t xml:space="preserve">no finalized retention policy</w:t>
      </w:r>
      <w:r>
        <w:rPr>
          <w:rFonts w:ascii="Times New Roman" w:cs="Times New Roman" w:eastAsia="Times New Roman" w:hAnsi="Times New Roman"/>
          <w:b w:val="false"/>
          <w:bCs w:val="false"/>
          <w:i w:val="false"/>
          <w:iCs w:val="false"/>
          <w:sz w:val="24"/>
          <w:szCs w:val="24"/>
        </w:rPr>
        <w:t xml:space="preserve"> (an explicitly open item), </w:t>
      </w:r>
      <w:r>
        <w:rPr>
          <w:rFonts w:ascii="Times New Roman" w:cs="Times New Roman" w:eastAsia="Times New Roman" w:hAnsi="Times New Roman"/>
          <w:b/>
          <w:bCs/>
          <w:i w:val="false"/>
          <w:iCs w:val="false"/>
          <w:sz w:val="24"/>
          <w:szCs w:val="24"/>
        </w:rPr>
        <w:t xml:space="preserve">no privacy notice/signage plan</w:t>
      </w:r>
      <w:r>
        <w:rPr>
          <w:rFonts w:ascii="Times New Roman" w:cs="Times New Roman" w:eastAsia="Times New Roman" w:hAnsi="Times New Roman"/>
          <w:b w:val="false"/>
          <w:bCs w:val="false"/>
          <w:i w:val="false"/>
          <w:iCs w:val="false"/>
          <w:sz w:val="24"/>
          <w:szCs w:val="24"/>
        </w:rPr>
        <w:t xml:space="preserve">, and </w:t>
      </w:r>
      <w:r>
        <w:rPr>
          <w:rFonts w:ascii="Times New Roman" w:cs="Times New Roman" w:eastAsia="Times New Roman" w:hAnsi="Times New Roman"/>
          <w:b/>
          <w:bCs/>
          <w:i w:val="false"/>
          <w:iCs w:val="false"/>
          <w:sz w:val="24"/>
          <w:szCs w:val="24"/>
        </w:rPr>
        <w:t xml:space="preserve">no privacy impact assessment</w:t>
      </w:r>
      <w:r>
        <w:rPr>
          <w:rFonts w:ascii="Times New Roman" w:cs="Times New Roman" w:eastAsia="Times New Roman" w:hAnsi="Times New Roman"/>
          <w:b w:val="false"/>
          <w:bCs w:val="false"/>
          <w:i w:val="false"/>
          <w:iCs w:val="false"/>
          <w:sz w:val="24"/>
          <w:szCs w:val="24"/>
        </w:rPr>
        <w:t xml:space="preserve"> on record. DOC-CAP-FINAL-2026-008 §2.4 independently reaches the same conclusion in its own NPC-pillar self-assessment table, listing a privacy notice, parental/guardian consent process, and a formal legal/DPO review as still “to be finalized with the adviser” before deployment. This study treats every one of those as an </w:t>
      </w:r>
      <w:r>
        <w:rPr>
          <w:rFonts w:ascii="Times New Roman" w:cs="Times New Roman" w:eastAsia="Times New Roman" w:hAnsi="Times New Roman"/>
          <w:b/>
          <w:bCs/>
          <w:i w:val="false"/>
          <w:iCs w:val="false"/>
          <w:sz w:val="24"/>
          <w:szCs w:val="24"/>
        </w:rPr>
        <w:t xml:space="preserve">open pre-deployment requirement</w:t>
      </w:r>
      <w:r>
        <w:rPr>
          <w:rFonts w:ascii="Times New Roman" w:cs="Times New Roman" w:eastAsia="Times New Roman" w:hAnsi="Times New Roman"/>
          <w:b w:val="false"/>
          <w:bCs w:val="false"/>
          <w:i w:val="false"/>
          <w:iCs w:val="false"/>
          <w:sz w:val="24"/>
          <w:szCs w:val="24"/>
        </w:rPr>
        <w:t xml:space="preserve">, not a completed compliance step.</w:t>
      </w:r>
    </w:p>
    <w:p>
      <w:pPr>
        <w:pStyle w:val="Heading2"/>
        <w:spacing w:after="160" w:before="280"/>
      </w:pPr>
      <w:r>
        <w:t xml:space="preserve">6.3 Consent and Minors</w:t>
      </w:r>
    </w:p>
    <w:p>
      <w:pPr>
        <w:spacing w:after="160" w:line="276"/>
        <w:jc w:val="both"/>
      </w:pPr>
      <w:r>
        <w:rPr>
          <w:rFonts w:ascii="Times New Roman" w:cs="Times New Roman" w:eastAsia="Times New Roman" w:hAnsi="Times New Roman"/>
          <w:b w:val="false"/>
          <w:bCs w:val="false"/>
          <w:i w:val="false"/>
          <w:iCs w:val="false"/>
          <w:sz w:val="24"/>
          <w:szCs w:val="24"/>
        </w:rPr>
        <w:t xml:space="preserve">Because the classroom's occupants are minors, consent for camera capture is not straightforward: DPA consent must be “freely given, specific, informed, and evidenced,” but in a mandatory-attendance classroom setting, a student's or parent's “choice” not to be recorded is practically constrained — commentary on this exact scenario notes that many school CCTV programs instead rely on </w:t>
      </w:r>
      <w:r>
        <w:rPr>
          <w:rFonts w:ascii="Times New Roman" w:cs="Times New Roman" w:eastAsia="Times New Roman" w:hAnsi="Times New Roman"/>
          <w:b/>
          <w:bCs/>
          <w:i w:val="false"/>
          <w:iCs w:val="false"/>
          <w:sz w:val="24"/>
          <w:szCs w:val="24"/>
        </w:rPr>
        <w:t xml:space="preserve">legitimate interest</w:t>
      </w:r>
      <w:r>
        <w:rPr>
          <w:rFonts w:ascii="Times New Roman" w:cs="Times New Roman" w:eastAsia="Times New Roman" w:hAnsi="Times New Roman"/>
          <w:b w:val="false"/>
          <w:bCs w:val="false"/>
          <w:i w:val="false"/>
          <w:iCs w:val="false"/>
          <w:sz w:val="24"/>
          <w:szCs w:val="24"/>
        </w:rPr>
        <w:t xml:space="preserve"> (e.g., campus/student safety) as their lawful basis rather than consent alone, while still requiring clear notice to students and parents (Respicio &amp; Co., n.d.-a; Respicio &amp; Co., n.d.-b). The project's own prototype-paper revision independently added a requirement for </w:t>
      </w:r>
      <w:r>
        <w:rPr>
          <w:rFonts w:ascii="Times New Roman" w:cs="Times New Roman" w:eastAsia="Times New Roman" w:hAnsi="Times New Roman"/>
          <w:b/>
          <w:bCs/>
          <w:i w:val="false"/>
          <w:iCs w:val="false"/>
          <w:sz w:val="24"/>
          <w:szCs w:val="24"/>
        </w:rPr>
        <w:t xml:space="preserve">parental/guardian consent before deployment in any classroom involving students</w:t>
      </w:r>
      <w:r>
        <w:rPr>
          <w:rFonts w:ascii="Times New Roman" w:cs="Times New Roman" w:eastAsia="Times New Roman" w:hAnsi="Times New Roman"/>
          <w:b w:val="false"/>
          <w:bCs w:val="false"/>
          <w:i w:val="false"/>
          <w:iCs w:val="false"/>
          <w:sz w:val="24"/>
          <w:szCs w:val="24"/>
        </w:rPr>
        <w:t xml:space="preserve"> — but, as that same document's open-issues list states, </w:t>
      </w:r>
      <w:r>
        <w:rPr>
          <w:rFonts w:ascii="Times New Roman" w:cs="Times New Roman" w:eastAsia="Times New Roman" w:hAnsi="Times New Roman"/>
          <w:b/>
          <w:bCs/>
          <w:i w:val="false"/>
          <w:iCs w:val="false"/>
          <w:sz w:val="24"/>
          <w:szCs w:val="24"/>
        </w:rPr>
        <w:t xml:space="preserve">no consent form, procedure, or specific legal basis has been defined yet</w:t>
      </w:r>
      <w:r>
        <w:rPr>
          <w:rFonts w:ascii="Times New Roman" w:cs="Times New Roman" w:eastAsia="Times New Roman" w:hAnsi="Times New Roman"/>
          <w:b w:val="false"/>
          <w:bCs w:val="false"/>
          <w:i w:val="false"/>
          <w:iCs w:val="false"/>
          <w:sz w:val="24"/>
          <w:szCs w:val="24"/>
        </w:rPr>
        <w:t xml:space="preserve"> (</w:t>
      </w:r>
      <w:r>
        <w:rPr>
          <w:rFonts w:ascii="Times New Roman" w:cs="Times New Roman" w:eastAsia="Times New Roman" w:hAnsi="Times New Roman"/>
          <w:b w:val="false"/>
          <w:bCs w:val="false"/>
          <w:i/>
          <w:iCs/>
          <w:sz w:val="24"/>
          <w:szCs w:val="24"/>
        </w:rPr>
        <w:t xml:space="preserve">Status: Proposal requirement / Under consideration</w:t>
      </w:r>
      <w:r>
        <w:rPr>
          <w:rFonts w:ascii="Times New Roman" w:cs="Times New Roman" w:eastAsia="Times New Roman" w:hAnsi="Times New Roman"/>
          <w:b w:val="false"/>
          <w:bCs w:val="false"/>
          <w:i w:val="false"/>
          <w:iCs w:val="false"/>
          <w:sz w:val="24"/>
          <w:szCs w:val="24"/>
        </w:rPr>
        <w:t xml:space="preserve">).</w:t>
      </w:r>
    </w:p>
    <w:p>
      <w:pPr>
        <w:pStyle w:val="Heading2"/>
        <w:spacing w:after="160" w:before="280"/>
      </w:pPr>
      <w:r>
        <w:t xml:space="preserve">6.4 DepEd Child-Protection Context</w:t>
      </w:r>
    </w:p>
    <w:p>
      <w:pPr>
        <w:spacing w:after="160" w:line="276"/>
        <w:jc w:val="both"/>
      </w:pPr>
      <w:r>
        <w:rPr>
          <w:rFonts w:ascii="Times New Roman" w:cs="Times New Roman" w:eastAsia="Times New Roman" w:hAnsi="Times New Roman"/>
          <w:b w:val="false"/>
          <w:bCs w:val="false"/>
          <w:i w:val="false"/>
          <w:iCs w:val="false"/>
          <w:sz w:val="24"/>
          <w:szCs w:val="24"/>
        </w:rPr>
        <w:t xml:space="preserve">DepEd Order No. 40, s. 2012 (the Child Protection Policy) establishes a zero-tolerance framework for child abuse, exploitation, and bullying in schools and requires a school-level Child Protection Committee (Department of Education, 2012). It does not itself specify camera-consent procedures, but it is the relevant institutional-policy backdrop any BantayAralan pilot in a DepEd school would need to be consistent with, particularly regarding who may access classroom imagery of children and how a captured event would be handled if it became relevant to a child-protection matter. This study does not attempt to resolve that intersection — it is flagged as a topic for the adviser/school ethics review, not a settled question.</w:t>
      </w:r>
    </w:p>
    <w:p>
      <w:pPr>
        <w:pStyle w:val="Heading2"/>
        <w:spacing w:after="160" w:before="280"/>
      </w:pPr>
      <w:r>
        <w:t xml:space="preserve">6.5 Privacy-by-Design Factors Already Working in the Project's Favor</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No facial recognition or identity tracking anywhere in the system</w:t>
      </w:r>
      <w:r>
        <w:rPr>
          <w:rFonts w:ascii="Times New Roman" w:cs="Times New Roman" w:eastAsia="Times New Roman" w:hAnsi="Times New Roman"/>
          <w:b w:val="false"/>
          <w:bCs w:val="false"/>
          <w:i w:val="false"/>
          <w:iCs w:val="false"/>
          <w:sz w:val="24"/>
          <w:szCs w:val="24"/>
        </w:rPr>
        <w:t xml:space="preserve">, by explicit, repeatedly enforced constraint.</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ByteTrack was chosen over DeepSORT specifically to avoid an appearance-based re-identification embedding</w:t>
      </w:r>
      <w:r>
        <w:rPr>
          <w:rFonts w:ascii="Times New Roman" w:cs="Times New Roman" w:eastAsia="Times New Roman" w:hAnsi="Times New Roman"/>
          <w:b w:val="false"/>
          <w:bCs w:val="false"/>
          <w:i w:val="false"/>
          <w:iCs w:val="false"/>
          <w:sz w:val="24"/>
          <w:szCs w:val="24"/>
        </w:rPr>
        <w:t xml:space="preserve"> — a real, documented design decision (DOC-CAP-FINAL-2026-008 §2.4) that reduces soft-biometric exposure, not just an incidental side effect.</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Aggregate-only head counting</w:t>
      </w:r>
      <w:r>
        <w:rPr>
          <w:rFonts w:ascii="Times New Roman" w:cs="Times New Roman" w:eastAsia="Times New Roman" w:hAnsi="Times New Roman"/>
          <w:b w:val="false"/>
          <w:bCs w:val="false"/>
          <w:i w:val="false"/>
          <w:iCs w:val="false"/>
          <w:sz w:val="24"/>
          <w:szCs w:val="24"/>
        </w:rPr>
        <w:t xml:space="preserve"> — no per-student rows, names, or IDs anywhere in the schema.</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Human-in-the-loop by design</w:t>
      </w:r>
      <w:r>
        <w:rPr>
          <w:rFonts w:ascii="Times New Roman" w:cs="Times New Roman" w:eastAsia="Times New Roman" w:hAnsi="Times New Roman"/>
          <w:b w:val="false"/>
          <w:bCs w:val="false"/>
          <w:i w:val="false"/>
          <w:iCs w:val="false"/>
          <w:sz w:val="24"/>
          <w:szCs w:val="24"/>
        </w:rPr>
        <w:t xml:space="preserve"> — the system surfaces events for teacher review; it does not act autonomously on a student.</w:t>
      </w:r>
    </w:p>
    <w:p>
      <w:pPr>
        <w:pStyle w:val="ListParagraph"/>
        <w:numPr>
          <w:ilvl w:val="0"/>
          <w:numId w:val="1"/>
        </w:numPr>
        <w:spacing w:after="100" w:line="276"/>
        <w:jc w:val="both"/>
      </w:pPr>
      <w:r>
        <w:rPr>
          <w:rFonts w:ascii="Times New Roman" w:cs="Times New Roman" w:eastAsia="Times New Roman" w:hAnsi="Times New Roman"/>
          <w:b/>
          <w:bCs/>
          <w:i w:val="false"/>
          <w:iCs w:val="false"/>
          <w:sz w:val="24"/>
          <w:szCs w:val="24"/>
        </w:rPr>
        <w:t xml:space="preserve">Local-only hosting</w:t>
      </w:r>
      <w:r>
        <w:rPr>
          <w:rFonts w:ascii="Times New Roman" w:cs="Times New Roman" w:eastAsia="Times New Roman" w:hAnsi="Times New Roman"/>
          <w:b w:val="false"/>
          <w:bCs w:val="false"/>
          <w:i w:val="false"/>
          <w:iCs w:val="false"/>
          <w:sz w:val="24"/>
          <w:szCs w:val="24"/>
        </w:rPr>
        <w:t xml:space="preserve"> — reduces (but does not eliminate; see Section 6.6) third-party data-transfer exposure, since footage never leaves the school's own machine to a cloud vendor.</w:t>
      </w:r>
    </w:p>
    <w:p>
      <w:pPr>
        <w:pStyle w:val="Heading2"/>
        <w:spacing w:after="160" w:before="280"/>
      </w:pPr>
      <w:r>
        <w:t xml:space="preserve">6.6 What Local Hosting Does and Does Not Solve</w:t>
      </w:r>
    </w:p>
    <w:p>
      <w:pPr>
        <w:spacing w:after="160" w:line="276"/>
        <w:jc w:val="both"/>
      </w:pPr>
      <w:r>
        <w:rPr>
          <w:rFonts w:ascii="Times New Roman" w:cs="Times New Roman" w:eastAsia="Times New Roman" w:hAnsi="Times New Roman"/>
          <w:b w:val="false"/>
          <w:bCs w:val="false"/>
          <w:i w:val="false"/>
          <w:iCs w:val="false"/>
          <w:sz w:val="24"/>
          <w:szCs w:val="24"/>
        </w:rPr>
        <w:t xml:space="preserve">Local hosting keeps footage off a third-party cloud vendor's infrastructure, which simplifies the “who else can access this data” question. It does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by itself satisfy the DPA's other obligations (notice, lawful basis, retention policy, data-subject access-request handling, breach-response procedure, security safeguards for the local machine itself) — DOC-CAP-FINAL-2026-008 makes this same point explicitly in its own regulatory-compliance table. A locally hosted but unpassword-protected machine with an indefinite retention policy and no signage would still be a DPA compliance gap.</w:t>
      </w:r>
    </w:p>
    <w:p>
      <w:pPr>
        <w:pStyle w:val="Heading2"/>
        <w:spacing w:after="160" w:before="280"/>
      </w:pPr>
      <w:r>
        <w:t xml:space="preserve">6.7 Institutional/Ethics Approval</w:t>
      </w:r>
    </w:p>
    <w:p>
      <w:pPr>
        <w:spacing w:after="160" w:line="276"/>
        <w:jc w:val="both"/>
      </w:pPr>
      <w:r>
        <w:rPr>
          <w:rFonts w:ascii="Times New Roman" w:cs="Times New Roman" w:eastAsia="Times New Roman" w:hAnsi="Times New Roman"/>
          <w:b w:val="false"/>
          <w:bCs w:val="false"/>
          <w:i w:val="false"/>
          <w:iCs w:val="false"/>
          <w:sz w:val="24"/>
          <w:szCs w:val="24"/>
        </w:rPr>
        <w:t xml:space="preserve">No record exists in this repository of thesis-adviser review, an institutional ethics-review outcome, or a specific host-school agreement (</w:t>
      </w:r>
      <w:r>
        <w:rPr>
          <w:rFonts w:ascii="Times New Roman" w:cs="Times New Roman" w:eastAsia="Times New Roman" w:hAnsi="Times New Roman"/>
          <w:b w:val="false"/>
          <w:bCs w:val="false"/>
          <w:i/>
          <w:iCs/>
          <w:sz w:val="24"/>
          <w:szCs w:val="24"/>
        </w:rPr>
        <w:t xml:space="preserve">Status: Unclear</w:t>
      </w:r>
      <w:r>
        <w:rPr>
          <w:rFonts w:ascii="Times New Roman" w:cs="Times New Roman" w:eastAsia="Times New Roman" w:hAnsi="Times New Roman"/>
          <w:b w:val="false"/>
          <w:bCs w:val="false"/>
          <w:i w:val="false"/>
          <w:iCs w:val="false"/>
          <w:sz w:val="24"/>
          <w:szCs w:val="24"/>
        </w:rPr>
        <w:t xml:space="preserve">). Both the retention policy and the consent procedure are explicitly deferred to “adviser consultation” in the project's own documents — this study treats both as </w:t>
      </w:r>
      <w:r>
        <w:rPr>
          <w:rFonts w:ascii="Times New Roman" w:cs="Times New Roman" w:eastAsia="Times New Roman" w:hAnsi="Times New Roman"/>
          <w:b/>
          <w:bCs/>
          <w:i w:val="false"/>
          <w:iCs w:val="false"/>
          <w:sz w:val="24"/>
          <w:szCs w:val="24"/>
        </w:rPr>
        <w:t xml:space="preserve">required preconditions for any real classroom deployment</w:t>
      </w:r>
      <w:r>
        <w:rPr>
          <w:rFonts w:ascii="Times New Roman" w:cs="Times New Roman" w:eastAsia="Times New Roman" w:hAnsi="Times New Roman"/>
          <w:b w:val="false"/>
          <w:bCs w:val="false"/>
          <w:i w:val="false"/>
          <w:iCs w:val="false"/>
          <w:sz w:val="24"/>
          <w:szCs w:val="24"/>
        </w:rPr>
        <w:t xml:space="preserve">, not optional polish.</w:t>
      </w:r>
    </w:p>
    <w:p>
      <w:r>
        <w:br w:type="page"/>
      </w:r>
    </w:p>
    <w:p>
      <w:pPr>
        <w:pStyle w:val="Heading1"/>
        <w:spacing w:after="200" w:before="360"/>
      </w:pPr>
      <w:r>
        <w:t xml:space="preserve">7. Schedule Feasibility</w:t>
      </w:r>
    </w:p>
    <w:p>
      <w:pPr>
        <w:pStyle w:val="Heading2"/>
        <w:spacing w:after="160" w:before="280"/>
      </w:pPr>
      <w:r>
        <w:t xml:space="preserve">7.1 Where the Project Actually Stands Today</w:t>
      </w:r>
    </w:p>
    <w:p>
      <w:pPr>
        <w:spacing w:after="160" w:line="276"/>
        <w:jc w:val="both"/>
      </w:pPr>
      <w:r>
        <w:rPr>
          <w:rFonts w:ascii="Times New Roman" w:cs="Times New Roman" w:eastAsia="Times New Roman" w:hAnsi="Times New Roman"/>
          <w:b w:val="false"/>
          <w:bCs w:val="false"/>
          <w:i w:val="false"/>
          <w:iCs w:val="false"/>
          <w:sz w:val="24"/>
          <w:szCs w:val="24"/>
        </w:rPr>
        <w:t xml:space="preserve">The original proposal's own scope note states an intended “implementation and evaluation in early 2026” — but that note is itself explicitly flagged in the project's knowledge base as “not confirmed as still current,” and it sits oddly against the proposal document's own March 29, 2026 date. As of this study (2026-09-26), </w:t>
      </w:r>
      <w:r>
        <w:rPr>
          <w:rFonts w:ascii="Times New Roman" w:cs="Times New Roman" w:eastAsia="Times New Roman" w:hAnsi="Times New Roman"/>
          <w:b/>
          <w:bCs/>
          <w:i w:val="false"/>
          <w:iCs w:val="false"/>
          <w:sz w:val="24"/>
          <w:szCs w:val="24"/>
        </w:rPr>
        <w:t xml:space="preserve">no phase of the proposal's four-phase methodology</w:t>
      </w:r>
      <w:r>
        <w:rPr>
          <w:rFonts w:ascii="Times New Roman" w:cs="Times New Roman" w:eastAsia="Times New Roman" w:hAnsi="Times New Roman"/>
          <w:b w:val="false"/>
          <w:bCs w:val="false"/>
          <w:i w:val="false"/>
          <w:iCs w:val="false"/>
          <w:sz w:val="24"/>
          <w:szCs w:val="24"/>
        </w:rPr>
        <w:t xml:space="preserve"> (development beyond the admin UI, testing, implementation, evaluation) </w:t>
      </w:r>
      <w:r>
        <w:rPr>
          <w:rFonts w:ascii="Times New Roman" w:cs="Times New Roman" w:eastAsia="Times New Roman" w:hAnsi="Times New Roman"/>
          <w:b/>
          <w:bCs/>
          <w:i w:val="false"/>
          <w:iCs w:val="false"/>
          <w:sz w:val="24"/>
          <w:szCs w:val="24"/>
        </w:rPr>
        <w:t xml:space="preserve">has been executed</w:t>
      </w:r>
      <w:r>
        <w:rPr>
          <w:rFonts w:ascii="Times New Roman" w:cs="Times New Roman" w:eastAsia="Times New Roman" w:hAnsi="Times New Roman"/>
          <w:b w:val="false"/>
          <w:bCs w:val="false"/>
          <w:i w:val="false"/>
          <w:iCs w:val="false"/>
          <w:sz w:val="24"/>
          <w:szCs w:val="24"/>
        </w:rPr>
        <w:t xml:space="preserve">, and the CV detection pipeline that the whole methodology depends on has zero source code. This study does not restate “early 2026” as a still-valid target — it is treated as </w:t>
      </w:r>
      <w:r>
        <w:rPr>
          <w:rFonts w:ascii="Times New Roman" w:cs="Times New Roman" w:eastAsia="Times New Roman" w:hAnsi="Times New Roman"/>
          <w:b/>
          <w:bCs/>
          <w:i w:val="false"/>
          <w:iCs w:val="false"/>
          <w:sz w:val="24"/>
          <w:szCs w:val="24"/>
        </w:rPr>
        <w:t xml:space="preserve">stale/unclear</w:t>
      </w:r>
      <w:r>
        <w:rPr>
          <w:rFonts w:ascii="Times New Roman" w:cs="Times New Roman" w:eastAsia="Times New Roman" w:hAnsi="Times New Roman"/>
          <w:b w:val="false"/>
          <w:bCs w:val="false"/>
          <w:i w:val="false"/>
          <w:iCs w:val="false"/>
          <w:sz w:val="24"/>
          <w:szCs w:val="24"/>
        </w:rPr>
        <w:t xml:space="preserve"> pending a restated date from the team or adviser.</w:t>
      </w:r>
    </w:p>
    <w:p>
      <w:pPr>
        <w:pStyle w:val="Heading2"/>
        <w:spacing w:after="160" w:before="280"/>
      </w:pPr>
      <w:r>
        <w:t xml:space="preserve">7.2 Remaining Major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2808"/>
        <w:gridCol w:w="2621"/>
      </w:tblGrid>
      <w:tr>
        <w:trPr>
          <w:tblHeader/>
        </w:trPr>
        <w:tc>
          <w:tcPr>
            <w:tcW w:type="dxa" w:w="3931"/>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Work Item</w:t>
            </w:r>
          </w:p>
        </w:tc>
        <w:tc>
          <w:tcPr>
            <w:tcW w:type="dxa" w:w="280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Current Status</w:t>
            </w:r>
          </w:p>
        </w:tc>
        <w:tc>
          <w:tcPr>
            <w:tcW w:type="dxa" w:w="2621"/>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Depends On</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Finalize camera role assignment + ingest protocol</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Unclear/open</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Hardware decision (partially done)</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Custom dataset collection at production scale (if pursued)</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Planned (7-photo proof-of-concept exists)</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Camera/mounting finalized</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YOLOv8 + ByteTrack integration (capture → detect → track)</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Hardware + dataset direction</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Behavior logic (standing)</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Pose-estimation integration</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Clutter/alignment logic (reference/zone comparison)</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Top-down camera + reference layout</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event logging from the detector into the existing events table</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All CV integration above</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evidence capture (frame buffer, clip cutting, storage, serving)</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 (documented plan exists)</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CV integration + storage decision (done)</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head-count value (replacing the random placeholder)</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Person-detection/tracking integration</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Privacy notice, consent process, retention policy</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Under consideration / open</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Adviser + school ethics review</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Pilot testing (accuracy, latency, reliability)</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All of the above</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Teacher pre-/post-implementation surveys</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implemented</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Pilot scheduling</w:t>
            </w:r>
          </w:p>
        </w:tc>
      </w:tr>
      <w:tr>
        <w:tc>
          <w:tcPr>
            <w:tcW w:type="dxa" w:w="393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Documentation (Requirements Spec, Wireframes, Ethical Clearance)</w:t>
            </w:r>
          </w:p>
        </w:tc>
        <w:tc>
          <w:tcPr>
            <w:tcW w:type="dxa" w:w="280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In progress alongside this study</w:t>
            </w:r>
          </w:p>
        </w:tc>
        <w:tc>
          <w:tcPr>
            <w:tcW w:type="dxa" w:w="262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r>
    </w:tbl>
    <w:p>
      <w:pPr>
        <w:pStyle w:val="Heading2"/>
        <w:spacing w:after="160" w:before="280"/>
      </w:pPr>
      <w:r>
        <w:t xml:space="preserve">7.3 Indicative Phased Schedule</w:t>
      </w:r>
    </w:p>
    <w:p>
      <w:pPr>
        <w:spacing w:after="160" w:line="276"/>
        <w:jc w:val="both"/>
      </w:pPr>
      <w:r>
        <w:rPr>
          <w:rFonts w:ascii="Times New Roman" w:cs="Times New Roman" w:eastAsia="Times New Roman" w:hAnsi="Times New Roman"/>
          <w:b w:val="false"/>
          <w:bCs w:val="false"/>
          <w:i w:val="false"/>
          <w:iCs w:val="false"/>
          <w:sz w:val="24"/>
          <w:szCs w:val="24"/>
        </w:rPr>
        <w:t xml:space="preserve">No calendar completion date is asserted here, since none in the repository is currently reliable (see Section 7.1). The schedule below is </w:t>
      </w:r>
      <w:r>
        <w:rPr>
          <w:rFonts w:ascii="Times New Roman" w:cs="Times New Roman" w:eastAsia="Times New Roman" w:hAnsi="Times New Roman"/>
          <w:b/>
          <w:bCs/>
          <w:i w:val="false"/>
          <w:iCs w:val="false"/>
          <w:sz w:val="24"/>
          <w:szCs w:val="24"/>
        </w:rPr>
        <w:t xml:space="preserve">relative, phase-based, and assumption-driven</w:t>
      </w:r>
      <w:r>
        <w:rPr>
          <w:rFonts w:ascii="Times New Roman" w:cs="Times New Roman" w:eastAsia="Times New Roman" w:hAnsi="Times New Roman"/>
          <w:b w:val="false"/>
          <w:bCs w:val="false"/>
          <w:i w:val="false"/>
          <w:iCs w:val="false"/>
          <w:sz w:val="24"/>
          <w:szCs w:val="24"/>
        </w:rPr>
        <w:t xml:space="preserve"> — useful for sequencing dependencies, not as a committed deadline.</w:t>
      </w:r>
    </w:p>
    <w:p>
      <w:pPr>
        <w:spacing w:after="160" w:line="276"/>
        <w:jc w:val="both"/>
      </w:pPr>
      <w:r>
        <w:rPr>
          <w:rFonts w:ascii="Times New Roman" w:cs="Times New Roman" w:eastAsia="Times New Roman" w:hAnsi="Times New Roman"/>
          <w:b/>
          <w:bCs/>
          <w:i w:val="false"/>
          <w:iCs w:val="false"/>
          <w:sz w:val="24"/>
          <w:szCs w:val="24"/>
        </w:rPr>
        <w:t xml:space="preserve">Assumptions:</w:t>
      </w:r>
      <w:r>
        <w:rPr>
          <w:rFonts w:ascii="Times New Roman" w:cs="Times New Roman" w:eastAsia="Times New Roman" w:hAnsi="Times New Roman"/>
          <w:b w:val="false"/>
          <w:bCs w:val="false"/>
          <w:i w:val="false"/>
          <w:iCs w:val="false"/>
          <w:sz w:val="24"/>
          <w:szCs w:val="24"/>
        </w:rPr>
        <w:t xml:space="preserve"> (1) a single-contributor-scale development pace similar to what has produced the admin UI so far; (2) hardware (camera, switch, PC) is available starting Phase 2; (3) adviser/consent/ethics review can run partially in parallel with technical development, not strictly after it; (4) “month” here means a calendar month of part-time capstone-level effort, not a full-time sprint.</w:t>
      </w:r>
    </w:p>
    <w:p>
      <w:pPr>
        <w:pStyle w:val="Heading3"/>
        <w:spacing w:after="120" w:before="220"/>
      </w:pPr>
      <w:r>
        <w:t xml:space="preserve">Indicative Schedule (Relative Months, Not Calendar Dates)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3182"/>
        <w:gridCol w:w="1310"/>
        <w:gridCol w:w="1498"/>
        <w:gridCol w:w="1872"/>
      </w:tblGrid>
      <w:tr>
        <w:trPr>
          <w:tblHeader/>
        </w:trPr>
        <w:tc>
          <w:tcPr>
            <w:tcW w:type="dxa" w:w="149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Track</w:t>
            </w:r>
          </w:p>
        </w:tc>
        <w:tc>
          <w:tcPr>
            <w:tcW w:type="dxa" w:w="318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Task</w:t>
            </w:r>
          </w:p>
        </w:tc>
        <w:tc>
          <w:tcPr>
            <w:tcW w:type="dxa" w:w="1310"/>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Start (Month)</w:t>
            </w:r>
          </w:p>
        </w:tc>
        <w:tc>
          <w:tcPr>
            <w:tcW w:type="dxa" w:w="149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Duration (Months)</w:t>
            </w:r>
          </w:p>
        </w:tc>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Depends On</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Hardware &amp; Data</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Finalize camera role/ingest protocol</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0</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Hardware &amp; Data</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Production dataset collection (if pursued)</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3</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 role/ingest finalized</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CV Pipeline</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YOLOv8 + ByteTrack integration</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 role/ingest finalized</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CV Pipeline</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Behavior logic (standing)</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3</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YOLOv8 + ByteTrack integration</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CV Pipeline</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Clutter/alignment logic</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4</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Production dataset collection</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CV Pipeline</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event + evidence capture wiring</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4</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Behavior logic</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Governance</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Adviser review of current direction</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0</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Governance</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Consent process + retention policy</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Adviser review</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Governance</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Ethics/institutional approval</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4</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Consent process + retention policy</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Evaluation</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Pilot deployment</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6</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 event + evidence capture wiring</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Evaluation</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Pre/post teacher surveys</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5</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Ethics/institutional approval</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Evaluation</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Accuracy/latency/reliability testing</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7</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Pilot deployment</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Documentation</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Requirements Spec, Wireframes, Ethical Clearance</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0</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Documentation</w:t>
            </w:r>
          </w:p>
        </w:tc>
        <w:tc>
          <w:tcPr>
            <w:tcW w:type="dxa" w:w="318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Final capstone document compilation</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9</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1</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Accuracy/latency/reliability testing</w:t>
            </w:r>
          </w:p>
        </w:tc>
      </w:tr>
    </w:tbl>
    <w:p>
      <w:pPr>
        <w:spacing w:after="200"/>
      </w:pPr>
    </w:p>
    <w:p>
      <w:pPr>
        <w:spacing w:after="160" w:line="276"/>
        <w:jc w:val="both"/>
      </w:pPr>
      <w:r>
        <w:rPr>
          <w:rFonts w:ascii="Times New Roman" w:cs="Times New Roman" w:eastAsia="Times New Roman" w:hAnsi="Times New Roman"/>
          <w:b/>
          <w:bCs/>
          <w:i w:val="false"/>
          <w:iCs w:val="false"/>
          <w:sz w:val="24"/>
          <w:szCs w:val="24"/>
        </w:rPr>
        <w:t xml:space="preserve">Reading this schedule:</w:t>
      </w:r>
      <w:r>
        <w:rPr>
          <w:rFonts w:ascii="Times New Roman" w:cs="Times New Roman" w:eastAsia="Times New Roman" w:hAnsi="Times New Roman"/>
          <w:b w:val="false"/>
          <w:bCs w:val="false"/>
          <w:i w:val="false"/>
          <w:iCs w:val="false"/>
          <w:sz w:val="24"/>
          <w:szCs w:val="24"/>
        </w:rPr>
        <w:t xml:space="preserve"> the CV pipeline and the governance track (adviser review, consent, ethics) are drawn as running partly in parallel — this is an assumption, not a documented plan, and is worth the team confirming explicitly, since in practice ethics/consent approval can also gate when a pilot may legally begin, which would make it a hard dependency rather than a parallel track.</w:t>
      </w:r>
    </w:p>
    <w:p>
      <w:pPr>
        <w:pStyle w:val="Heading2"/>
        <w:spacing w:after="160" w:before="280"/>
      </w:pPr>
      <w:r>
        <w:t xml:space="preserve">7.4 Schedule Risk Concentration</w:t>
      </w:r>
    </w:p>
    <w:p>
      <w:pPr>
        <w:spacing w:after="160" w:line="276"/>
        <w:jc w:val="both"/>
      </w:pPr>
      <w:r>
        <w:rPr>
          <w:rFonts w:ascii="Times New Roman" w:cs="Times New Roman" w:eastAsia="Times New Roman" w:hAnsi="Times New Roman"/>
          <w:b w:val="false"/>
          <w:bCs w:val="false"/>
          <w:i w:val="false"/>
          <w:iCs w:val="false"/>
          <w:sz w:val="24"/>
          <w:szCs w:val="24"/>
        </w:rPr>
        <w:t xml:space="preserve">The single largest schedule risk is that the entire evaluation phase (pilot deployment, surveys, accuracy/latency testing) depends on a CV pipeline that currently has zero source code — every other piece of the project (admin UI, database, hosting decisions) is comparatively de-risked. See Section 8, risk R-1.</w:t>
      </w:r>
    </w:p>
    <w:p>
      <w:r>
        <w:br w:type="page"/>
      </w:r>
    </w:p>
    <w:p>
      <w:pPr>
        <w:pStyle w:val="Heading1"/>
        <w:spacing w:after="200" w:before="360"/>
      </w:pPr>
      <w:r>
        <w:t xml:space="preserve">8. Risk Analysis</w:t>
      </w:r>
    </w:p>
    <w:p>
      <w:pPr>
        <w:spacing w:after="160" w:line="276"/>
        <w:jc w:val="both"/>
      </w:pPr>
      <w:r>
        <w:rPr>
          <w:rFonts w:ascii="Times New Roman" w:cs="Times New Roman" w:eastAsia="Times New Roman" w:hAnsi="Times New Roman"/>
          <w:b w:val="false"/>
          <w:bCs w:val="false"/>
          <w:i w:val="false"/>
          <w:iCs w:val="false"/>
          <w:sz w:val="24"/>
          <w:szCs w:val="24"/>
        </w:rPr>
        <w:t xml:space="preserve">Likelihood is described qualitatively (Low/Medium/High) based on what is documented in this repository, not a statistical model — no numerical probability is asserted without a defensible basis, and none exists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2"/>
        <w:gridCol w:w="1872"/>
        <w:gridCol w:w="1123"/>
        <w:gridCol w:w="1310"/>
        <w:gridCol w:w="1498"/>
        <w:gridCol w:w="1685"/>
        <w:gridCol w:w="1310"/>
      </w:tblGrid>
      <w:tr>
        <w:trPr>
          <w:tblHeader/>
        </w:trPr>
        <w:tc>
          <w:tcPr>
            <w:tcW w:type="dxa" w:w="56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ID</w:t>
            </w:r>
          </w:p>
        </w:tc>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Risk</w:t>
            </w:r>
          </w:p>
        </w:tc>
        <w:tc>
          <w:tcPr>
            <w:tcW w:type="dxa" w:w="1123"/>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Category</w:t>
            </w:r>
          </w:p>
        </w:tc>
        <w:tc>
          <w:tcPr>
            <w:tcW w:type="dxa" w:w="1310"/>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Likelihood</w:t>
            </w:r>
          </w:p>
        </w:tc>
        <w:tc>
          <w:tcPr>
            <w:tcW w:type="dxa" w:w="149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Impact</w:t>
            </w:r>
          </w:p>
        </w:tc>
        <w:tc>
          <w:tcPr>
            <w:tcW w:type="dxa" w:w="1685"/>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Mitigation</w:t>
            </w:r>
          </w:p>
        </w:tc>
        <w:tc>
          <w:tcPr>
            <w:tcW w:type="dxa" w:w="1310"/>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Residual Concern</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R-1</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The CV pipeline (detection + tracking + behavior/alignment logic) does not get built in time for a meaningful pilot</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Technical / Schedule</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Medium–High (zero source code exists today)</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High — without it, only the mock-data admin UI can be demonstrated</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Two independent pipelines (behavior vs. clutter/alignment) can be developed and de-risked separately; pretrained models reduce one major sub-risk</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Real-time integration, tuning, and evaluation is nontrivial engineering work with no schedule buffer documented</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Detection accuracy is poor in cluttered/occluded/low-light real classrooms</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Technical / CV accuracy</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 (known research-literature limitation, e.g. Bashkirova et al., 2021)</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Medium–High — false positives erode teacher trust; false negatives defeat the purpose</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ByteTrack's low-confidence-box association helps under partial occlusion; ROI cropping and reference/zone comparison reduce difficulty vs. fine-grained classification</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pilot data exists yet to confirm real-world accuracy under actual classroom conditions</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R-3</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Head-count duplicate-counting / double-counting within a single frame</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Technical / CV accuracy</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 — undermines the aggregate head-count feature's credibility</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ByteTrack tracking is intended to help here; the current placeholder policy (last-value-wins) is honestly labeled as not a real answer</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duplicate-counting algorithm has been designed yet, only the storage/scheduling side</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R-4</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Camera/network hardware issues (PoE budget exceeded, camera disconnect, wrong ingest protocol assumed)</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Hardware / Network</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Low–Medium</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TL-SG1005LP's 40 W PoE budget comfortably covers 1–2 confirmed-model cameras; RTSP/ONVIF is the expected ingest path for this camera class</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Ingest protocol not yet confirmed as actually configured; no documented plan for a camera outage during class</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R-5</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Real-time performance (FPS/latency) is inadequate on the confirmed hardware</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Performance</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Low–Medium (RTX 2060 plausible fit, unverified)</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Smaller YOLOv8 variant, ROI cropping, reduced frame rate outside class hours (already identified as fallback options)</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benchmark exists yet on the confirmed processing PC</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R-6</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Data-privacy/regulatory non-compliance at deployment (no retention policy, no notice, no consent process)</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Legal / Ethical</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Medium–High if a pilot proceeds without resolving these</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High — potential DPA violation, reputational and institutional risk</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NPC Circular 2024-02's requirements already identified; privacy-by-design choices reduce severity of a residual gap</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Retention policy and consent process are still open; no timeline exists for closing them</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R-7</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Evidence (screenshots/video) inadvertently identifies students beyond what's necessary</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Legal / Ethical</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Low–Medium (top-down angle reduces facial visibility; ceiling framing not fully specified)</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Medium–High</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Top-down angle for the clutter/alignment camera documented as reducing facial visibility by geometry</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documented policy or code check ensures the ceiling (behavior) camera stays within this constraint</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R-8</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The 7 committed dataset/ photos (or future training photos) are mishandled — e.g. committed despite a “do not commit” rule, or contain identifiable students</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Legal / Ethical / Repo hygiene</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Confirmed as already occurred once</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Medium–High if images contain identifiable students in a public GitHub repository</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detection/CLAUDE.md's “do not commit” rule and .gitignore entries under detection/dataset/</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The root-level dataset/ folder is not covered by those .gitignore rules and its 7 images were, in fact, committed — a verified finding, not a hypothetical</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R-9</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Local-only hosting means no cloud-provider backup/redundancy; local disk failure could lose all events/evidence</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Operational / Data loss</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Low–Medium (structural, not observed)</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High if it happens — total loss of the local database and evidence store</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 documented yet</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backup strategy exists anywhere in the repository</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R-10</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automated test suite or CI/CD exists; manual click-through is the only verification method</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Operational / Maintenance</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 (already true today)</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Low–Medium at current scale; would grow with team size or scope</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Automated testing/CI already documented as “planned for the next development phase”</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Regressions could go unnoticed longer than with automated coverage</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R-11</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Manual head-count correction is impossible if a future real detector produces an obviously wrong count</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Operational</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 once a real detector exists</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 — an acknowledged, deliberate gap left open by the manual-entry removal decision</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override mechanism is planned yet</w:t>
            </w:r>
          </w:p>
        </w:tc>
      </w:tr>
      <w:tr>
        <w:tc>
          <w:tcPr>
            <w:tcW w:type="dxa" w:w="56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R-12</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Internal documentation contradictions (e.g., ingest protocol asserted as configured while also listed as outstanding) cause the team to build against an unconfirmed assumption</w:t>
            </w:r>
          </w:p>
        </w:tc>
        <w:tc>
          <w:tcPr>
            <w:tcW w:type="dxa" w:w="1123"/>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Documentation / Process</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Medium (already observed)</w:t>
            </w:r>
          </w:p>
        </w:tc>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Low–Medium</w:t>
            </w:r>
          </w:p>
        </w:tc>
        <w:tc>
          <w:tcPr>
            <w:tcW w:type="dxa" w:w="1685"/>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This study surfaces the specific contradiction rather than silently picking a side</w:t>
            </w:r>
          </w:p>
        </w:tc>
        <w:tc>
          <w:tcPr>
            <w:tcW w:type="dxa" w:w="1310"/>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Requires the project team to explicitly settle the fact, not just note the conflict</w:t>
            </w:r>
          </w:p>
        </w:tc>
      </w:tr>
    </w:tbl>
    <w:p>
      <w:r>
        <w:br w:type="page"/>
      </w:r>
    </w:p>
    <w:p>
      <w:pPr>
        <w:pStyle w:val="Heading1"/>
        <w:spacing w:after="200" w:before="360"/>
      </w:pPr>
      <w:r>
        <w:t xml:space="preserve">9. Alternatives Analysis</w:t>
      </w:r>
    </w:p>
    <w:p>
      <w:pPr>
        <w:spacing w:after="160" w:line="276"/>
        <w:jc w:val="both"/>
      </w:pPr>
      <w:r>
        <w:rPr>
          <w:rFonts w:ascii="Times New Roman" w:cs="Times New Roman" w:eastAsia="Times New Roman" w:hAnsi="Times New Roman"/>
          <w:b w:val="false"/>
          <w:bCs w:val="false"/>
          <w:i w:val="false"/>
          <w:iCs w:val="false"/>
          <w:sz w:val="24"/>
          <w:szCs w:val="24"/>
        </w:rPr>
        <w:t xml:space="preserve">BantayAralan's proposed architecture is not the only way to address the underlying need. The comparison below is limited to what each alternative's </w:t>
      </w:r>
      <w:r>
        <w:rPr>
          <w:rFonts w:ascii="Times New Roman" w:cs="Times New Roman" w:eastAsia="Times New Roman" w:hAnsi="Times New Roman"/>
          <w:b w:val="false"/>
          <w:bCs w:val="false"/>
          <w:i/>
          <w:iCs/>
          <w:sz w:val="24"/>
          <w:szCs w:val="24"/>
        </w:rPr>
        <w:t xml:space="preserve">general, publicly documented capabilities</w:t>
      </w:r>
      <w:r>
        <w:rPr>
          <w:rFonts w:ascii="Times New Roman" w:cs="Times New Roman" w:eastAsia="Times New Roman" w:hAnsi="Times New Roman"/>
          <w:b w:val="false"/>
          <w:bCs w:val="false"/>
          <w:i w:val="false"/>
          <w:iCs w:val="false"/>
          <w:sz w:val="24"/>
          <w:szCs w:val="24"/>
        </w:rPr>
        <w:t xml:space="preserve"> are — no specific competing product's internal accuracy or feature claims are asserted beyond what is common, well-established knowledge about that category of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98"/>
        <w:gridCol w:w="1872"/>
        <w:gridCol w:w="2059"/>
        <w:gridCol w:w="1872"/>
        <w:gridCol w:w="2059"/>
      </w:tblGrid>
      <w:tr>
        <w:trPr>
          <w:tblHeader/>
        </w:trPr>
        <w:tc>
          <w:tcPr>
            <w:tcW w:type="dxa" w:w="1498"/>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Criterion</w:t>
            </w:r>
          </w:p>
        </w:tc>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A. Teacher-Only Observation</w:t>
            </w:r>
          </w:p>
        </w:tc>
        <w:tc>
          <w:tcPr>
            <w:tcW w:type="dxa" w:w="2059"/>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B. Conventional CCTV (No Analysis)</w:t>
            </w:r>
          </w:p>
        </w:tc>
        <w:tc>
          <w:tcPr>
            <w:tcW w:type="dxa" w:w="1872"/>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C. Cloud-Based Computer Vision</w:t>
            </w:r>
          </w:p>
        </w:tc>
        <w:tc>
          <w:tcPr>
            <w:tcW w:type="dxa" w:w="2059"/>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 Local/On-Premises CV (BantayAralan)</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Technical requirements</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 camera + a recorder (DVR/NVR); no CV pipeline</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Same CV stack, but inference and/or storage run on a cloud provider</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Camera(s) + local processing PC + local DB/storage + CV stack</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Privacy posture</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 new camera data captured</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Same personal-data-processing obligations as BantayAralan's camera, but no automated event extraction — a human must review raw footage</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Materially harder privacy story: footage/frames leave the premises to a third party, which the project explicitly wanted to avoid</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Footage stays on-premises, simplifying (not eliminating) DPA exposure; no third-party data transfer</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Cost</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₱0</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Camera + recorder hardware only, generally lower than a full CV pipeline's dev cost</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Recurring cloud compute + storage + egress costs</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One-time hardware cost + no recurring cloud fee (see Section 5)</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Latency (event awareness)</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Immediate, but only when the teacher happens to notice</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Only as fast as someone reviews the footage — effectively equivalent to or slower than teacher-only observation</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Can be fast, but adds network round-trip latency and a dependency on internet connectivity</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Could in principle be near-real-time once built, though the design deliberately surfaces events as a periodic log</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Infrastructure</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Simple: camera + local/NVR storage</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Requires reliable internet uplink from the classroom; none documented as available/planned here</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Needs only a local network (PoE switch already confirmed); no internet dependency for core function</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Scalability</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Scales per-teacher, not per-classroom</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Straightforward to add more cameras; review burden scales with footage volume</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Scales elastically, at a recurring cost, with less local hardware needed per site</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Scales per-site by adding hardware; central multi-site management not designed yet</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Teacher workload</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Full continuous attention burden on the teacher, competing with instruction</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Adds a manual review burden instead of removing one</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Similar to BantayAralan if the UI/UX is equivalent</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Reduces continuous-attention burden in principle — not yet demonstrated, since no pilot has run</w:t>
            </w:r>
          </w:p>
        </w:tc>
      </w:tr>
      <w:tr>
        <w:tc>
          <w:tcPr>
            <w:tcW w:type="dxa" w:w="1498"/>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Implementation complexity</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None — nothing to build</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Low — mature, off-the-shelf category</w:t>
            </w:r>
          </w:p>
        </w:tc>
        <w:tc>
          <w:tcPr>
            <w:tcW w:type="dxa" w:w="1872"/>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Higher — needs cloud account management, network reliability engineering</w:t>
            </w:r>
          </w:p>
        </w:tc>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Highest — the CV pipeline is the entire unbuilt part of this project</w:t>
            </w:r>
          </w:p>
        </w:tc>
      </w:tr>
    </w:tbl>
    <w:p>
      <w:pPr>
        <w:spacing w:after="200"/>
      </w:pPr>
    </w:p>
    <w:p>
      <w:pPr>
        <w:spacing w:after="160" w:line="276"/>
        <w:jc w:val="both"/>
      </w:pPr>
      <w:r>
        <w:rPr>
          <w:rFonts w:ascii="Times New Roman" w:cs="Times New Roman" w:eastAsia="Times New Roman" w:hAnsi="Times New Roman"/>
          <w:b/>
          <w:bCs/>
          <w:i w:val="false"/>
          <w:iCs w:val="false"/>
          <w:sz w:val="24"/>
          <w:szCs w:val="24"/>
        </w:rPr>
        <w:t xml:space="preserve">Why the local on-premises direction is being pursued despite its higher build complexity:</w:t>
      </w:r>
      <w:r>
        <w:rPr>
          <w:rFonts w:ascii="Times New Roman" w:cs="Times New Roman" w:eastAsia="Times New Roman" w:hAnsi="Times New Roman"/>
          <w:b w:val="false"/>
          <w:bCs w:val="false"/>
          <w:i w:val="false"/>
          <w:iCs w:val="false"/>
          <w:sz w:val="24"/>
          <w:szCs w:val="24"/>
        </w:rPr>
        <w:t xml:space="preserve"> the project team's own stated reasons are cost avoidance (recurring cloud fees) and, implicitly, keeping classroom camera data out of third-party hands — consistent with the privacy-first framing that runs through every other design decision in this repository. This study does not second-guess that trade-off, but notes plainly (Section 6.6) that “local” is not itself a complete privacy/compliance answer, and (Section 8, R-9) that it also forgoes cloud-provider redundancy.</w:t>
      </w:r>
    </w:p>
    <w:p>
      <w:r>
        <w:br w:type="page"/>
      </w:r>
    </w:p>
    <w:p>
      <w:pPr>
        <w:pStyle w:val="Heading1"/>
        <w:spacing w:after="200" w:before="360"/>
      </w:pPr>
      <w:r>
        <w:t xml:space="preserve">10. Assumptions and Evidence Gaps</w:t>
      </w:r>
    </w:p>
    <w:p>
      <w:pPr>
        <w:spacing w:after="160" w:line="276"/>
        <w:jc w:val="both"/>
      </w:pPr>
      <w:r>
        <w:rPr>
          <w:rFonts w:ascii="Times New Roman" w:cs="Times New Roman" w:eastAsia="Times New Roman" w:hAnsi="Times New Roman"/>
          <w:b w:val="false"/>
          <w:bCs w:val="false"/>
          <w:i w:val="false"/>
          <w:iCs w:val="false"/>
          <w:sz w:val="24"/>
          <w:szCs w:val="24"/>
        </w:rPr>
        <w:t xml:space="preserve">This section exists because the project's own knowledge base explicitly maintains an Open Questions list, and this study is obligated not to silently resolve any of it. Each item below states what is </w:t>
      </w:r>
      <w:r>
        <w:rPr>
          <w:rFonts w:ascii="Times New Roman" w:cs="Times New Roman" w:eastAsia="Times New Roman" w:hAnsi="Times New Roman"/>
          <w:b/>
          <w:bCs/>
          <w:i w:val="false"/>
          <w:iCs w:val="false"/>
          <w:sz w:val="24"/>
          <w:szCs w:val="24"/>
        </w:rPr>
        <w:t xml:space="preserve">confirmed</w:t>
      </w:r>
      <w:r>
        <w:rPr>
          <w:rFonts w:ascii="Times New Roman" w:cs="Times New Roman" w:eastAsia="Times New Roman" w:hAnsi="Times New Roman"/>
          <w:b w:val="false"/>
          <w:bCs w:val="false"/>
          <w:i w:val="false"/>
          <w:iCs w:val="false"/>
          <w:sz w:val="24"/>
          <w:szCs w:val="24"/>
        </w:rPr>
        <w:t xml:space="preserve">, what is </w:t>
      </w:r>
      <w:r>
        <w:rPr>
          <w:rFonts w:ascii="Times New Roman" w:cs="Times New Roman" w:eastAsia="Times New Roman" w:hAnsi="Times New Roman"/>
          <w:b/>
          <w:bCs/>
          <w:i w:val="false"/>
          <w:iCs w:val="false"/>
          <w:sz w:val="24"/>
          <w:szCs w:val="24"/>
        </w:rPr>
        <w:t xml:space="preserve">assumed</w:t>
      </w:r>
      <w:r>
        <w:rPr>
          <w:rFonts w:ascii="Times New Roman" w:cs="Times New Roman" w:eastAsia="Times New Roman" w:hAnsi="Times New Roman"/>
          <w:b w:val="false"/>
          <w:bCs w:val="false"/>
          <w:i w:val="false"/>
          <w:iCs w:val="false"/>
          <w:sz w:val="24"/>
          <w:szCs w:val="24"/>
        </w:rPr>
        <w:t xml:space="preserve">, and what is </w:t>
      </w:r>
      <w:r>
        <w:rPr>
          <w:rFonts w:ascii="Times New Roman" w:cs="Times New Roman" w:eastAsia="Times New Roman" w:hAnsi="Times New Roman"/>
          <w:b/>
          <w:bCs/>
          <w:i w:val="false"/>
          <w:iCs w:val="false"/>
          <w:sz w:val="24"/>
          <w:szCs w:val="24"/>
        </w:rPr>
        <w:t xml:space="preserve">unresolved</w:t>
      </w:r>
      <w:r>
        <w:rPr>
          <w:rFonts w:ascii="Times New Roman" w:cs="Times New Roman" w:eastAsia="Times New Roman" w:hAnsi="Times New Roman"/>
          <w:b w:val="false"/>
          <w:bCs w:val="false"/>
          <w:i w:val="false"/>
          <w:iCs w:val="false"/>
          <w:sz w:val="24"/>
          <w:szCs w:val="24"/>
        </w:rPr>
        <w:t xml:space="preserve">, in the project's own terms.</w:t>
      </w:r>
    </w:p>
    <w:p>
      <w:pPr>
        <w:pStyle w:val="Heading2"/>
        <w:spacing w:after="160" w:before="280"/>
      </w:pPr>
      <w:r>
        <w:t xml:space="preserve">10.1 Confirmed Facts This Study Relies On</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Admin UI (admin-ui/) is real, running code against synthetic/mock data — verified directly by reading backend/app.py, backend/db.py, backend/scheduler.py, backend/seed.py.</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No CV/detection source code exists anywhere in this repository — verified by repository inspection, not merely asserted from documentation.</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Camera model (TP-Link VIGI C320I), detection model (YOLOv8), local hosting, network switch (TL-SG1005LP), and the full processing-PC specification (Ryzen 5 5600 CPU, RTX 2060 GPU, 16 GB 3200 MHz RAM, 256 GB M.2 SSD + 1 TB HDD) are all working decisions communicated directly by the project team — the switch and PC specs during the preparation of this study (2026-09-26).</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Manual head-count entry has been removed; the automated scheduler is the sole source of head-count rows, and its captured value is a placeholder random integer, not a real detection.</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No thesis-adviser review of the current direction is on record anywhere in this repository.</w:t>
      </w:r>
    </w:p>
    <w:p>
      <w:pPr>
        <w:pStyle w:val="Heading2"/>
        <w:spacing w:after="160" w:before="280"/>
      </w:pPr>
      <w:r>
        <w:t xml:space="preserve">10.2 Assumptions Made in This Study (Stated Explicitly, Not Hidden)</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That “early 2026” in the original proposal's scope note is </w:t>
      </w:r>
      <w:r>
        <w:rPr>
          <w:rFonts w:ascii="Times New Roman" w:cs="Times New Roman" w:eastAsia="Times New Roman" w:hAnsi="Times New Roman"/>
          <w:b/>
          <w:bCs/>
          <w:i w:val="false"/>
          <w:iCs w:val="false"/>
          <w:sz w:val="24"/>
          <w:szCs w:val="24"/>
        </w:rPr>
        <w:t xml:space="preserve">stale</w:t>
      </w:r>
      <w:r>
        <w:rPr>
          <w:rFonts w:ascii="Times New Roman" w:cs="Times New Roman" w:eastAsia="Times New Roman" w:hAnsi="Times New Roman"/>
          <w:b w:val="false"/>
          <w:bCs w:val="false"/>
          <w:i w:val="false"/>
          <w:iCs w:val="false"/>
          <w:sz w:val="24"/>
          <w:szCs w:val="24"/>
        </w:rPr>
        <w:t xml:space="preserve"> and should not be treated as a live deadline (see Section 7.1).</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That the schedule in Section 7.3 is a reasonable phase ordering given the dependencies described in the repository — it is not a commitment from the project team or adviser.</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That the confirmed processing PC (Ryzen 5 5600 / RTX 2060 / 16 GB RAM) is plausibly adequate for real-time inference of a smaller/medium YOLOv8 variant at this project's scale — a plausibility judgment, not a project-specific benchmark.</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That retail prices gathered on 2026-09-26 are representative enough for planning purposes, understanding that PoE-camera/switch/GPU prices fluctuate with stock and promotions.</w:t>
      </w:r>
    </w:p>
    <w:p>
      <w:pPr>
        <w:pStyle w:val="Heading2"/>
        <w:spacing w:after="160" w:before="280"/>
      </w:pPr>
      <w:r>
        <w:t xml:space="preserve">10.3 Unresolved Items (Repeated Here, Not Resolved)</w:t>
      </w:r>
    </w:p>
    <w:p>
      <w:pPr>
        <w:spacing w:after="160" w:line="276"/>
        <w:jc w:val="both"/>
      </w:pPr>
      <w:r>
        <w:rPr>
          <w:rFonts w:ascii="Times New Roman" w:cs="Times New Roman" w:eastAsia="Times New Roman" w:hAnsi="Times New Roman"/>
          <w:b w:val="false"/>
          <w:bCs w:val="false"/>
          <w:i w:val="false"/>
          <w:iCs w:val="false"/>
          <w:sz w:val="24"/>
          <w:szCs w:val="24"/>
        </w:rPr>
        <w:t xml:space="preserve">Directly carried over from the project's Open Questions record — this study adds no new resolution to any of these:</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Evidence retention policy (indefinite vs. genuinely open vs. something in between) — conflicting signals across documents.</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Final GUI framework for the eventual integrated CV+GUI system (the admin UI's web/Flask choice does not answer this separate question).</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Head-count duplicate-counting / individual-distinction mechanism for a real detector.</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Statistical/pattern-analysis methodology for Insights &amp; Suggestions (currently simple, clearly labeled placeholder thresholds).</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Detection-toggle's exact backend scope once a real pipeline exists.</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Whether an event-status field will ever be added.</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Final video-evidence implementation design.</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Final camera point-of-view and mounting details — physical mounting/installation specifics remain open even though the camera model, network switch, and full processing-PC specification are now confirmed. The processing PC's form factor and which drive would host the database/evidence store are also still unstated.</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Final detection thresholds (alignment/clutter).</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Final event categories (whether “other” is a deliberate permanent catch-all).</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Whether authentication will ever be necessary.</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Deployment architecture beyond the current single-machine admin-UI prototype.</w:t>
      </w:r>
    </w:p>
    <w:p>
      <w:pPr>
        <w:pStyle w:val="ListParagraph"/>
        <w:numPr>
          <w:ilvl w:val="0"/>
          <w:numId w:val="1"/>
        </w:numPr>
        <w:spacing w:after="100" w:line="276"/>
        <w:jc w:val="both"/>
      </w:pPr>
      <w:r>
        <w:rPr>
          <w:rFonts w:ascii="Times New Roman" w:cs="Times New Roman" w:eastAsia="Times New Roman" w:hAnsi="Times New Roman"/>
          <w:b w:val="false"/>
          <w:bCs w:val="false"/>
          <w:i w:val="false"/>
          <w:iCs w:val="false"/>
          <w:sz w:val="24"/>
          <w:szCs w:val="24"/>
        </w:rPr>
        <w:t xml:space="preserve">Whether any thesis-adviser consultation has occurred.</w:t>
      </w:r>
    </w:p>
    <w:p>
      <w:pPr>
        <w:pStyle w:val="Heading2"/>
        <w:spacing w:after="160" w:before="280"/>
      </w:pPr>
      <w:r>
        <w:t xml:space="preserve">10.4 New Discrepancies Surfaced While Preparing This Study</w:t>
      </w:r>
    </w:p>
    <w:p>
      <w:pPr>
        <w:spacing w:after="160" w:line="276"/>
        <w:jc w:val="both"/>
      </w:pPr>
      <w:r>
        <w:rPr>
          <w:rFonts w:ascii="Times New Roman" w:cs="Times New Roman" w:eastAsia="Times New Roman" w:hAnsi="Times New Roman"/>
          <w:b w:val="false"/>
          <w:bCs w:val="false"/>
          <w:i w:val="false"/>
          <w:iCs w:val="false"/>
          <w:sz w:val="24"/>
          <w:szCs w:val="24"/>
        </w:rPr>
        <w:t xml:space="preserve">These were found by directly inspecting the repository while writing this document and are not previously recorded elsewhere:</w:t>
      </w:r>
    </w:p>
    <w:p>
      <w:pPr>
        <w:spacing w:after="120" w:line="276"/>
        <w:ind w:left="36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i w:val="false"/>
          <w:iCs w:val="false"/>
          <w:sz w:val="24"/>
          <w:szCs w:val="24"/>
        </w:rPr>
        <w:t xml:space="preserve">Camera ingest protocol is asserted two different ways within the same source document.</w:t>
      </w:r>
      <w:r>
        <w:rPr>
          <w:rFonts w:ascii="Times New Roman" w:cs="Times New Roman" w:eastAsia="Times New Roman" w:hAnsi="Times New Roman"/>
          <w:b w:val="false"/>
          <w:bCs w:val="false"/>
          <w:i w:val="false"/>
          <w:iCs w:val="false"/>
          <w:sz w:val="24"/>
          <w:szCs w:val="24"/>
        </w:rPr>
        <w:t xml:space="preserve"> DOC-CAP-FINAL-2026-008 §2.5 states the camera “streams over RTSP/ONVIF” in a tone implying it is already configured, while that same document's §3.0 “Outstanding Items Before Final Submission” separately lists “confirm the camera role assignment...and finalize the ingest protocol configuration” as still pending. This study treats the protocol as </w:t>
      </w:r>
      <w:r>
        <w:rPr>
          <w:rFonts w:ascii="Times New Roman" w:cs="Times New Roman" w:eastAsia="Times New Roman" w:hAnsi="Times New Roman"/>
          <w:b/>
          <w:bCs/>
          <w:i w:val="false"/>
          <w:iCs w:val="false"/>
          <w:sz w:val="24"/>
          <w:szCs w:val="24"/>
        </w:rPr>
        <w:t xml:space="preserve">not yet confirmed</w:t>
      </w:r>
      <w:r>
        <w:rPr>
          <w:rFonts w:ascii="Times New Roman" w:cs="Times New Roman" w:eastAsia="Times New Roman" w:hAnsi="Times New Roman"/>
          <w:b w:val="false"/>
          <w:bCs w:val="false"/>
          <w:i w:val="false"/>
          <w:iCs w:val="false"/>
          <w:sz w:val="24"/>
          <w:szCs w:val="24"/>
        </w:rPr>
        <w:t xml:space="preserve">, and flags the internal inconsistency for the team to reconcile rather than picking a side.</w:t>
      </w:r>
    </w:p>
    <w:p>
      <w:pPr>
        <w:spacing w:after="120" w:line="276"/>
        <w:ind w:left="36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i w:val="false"/>
          <w:iCs w:val="false"/>
          <w:sz w:val="24"/>
          <w:szCs w:val="24"/>
        </w:rPr>
        <w:t xml:space="preserve">The root-level dataset/ folder's 7 photos were, in fact, committed to git</w:t>
      </w:r>
      <w:r>
        <w:rPr>
          <w:rFonts w:ascii="Times New Roman" w:cs="Times New Roman" w:eastAsia="Times New Roman" w:hAnsi="Times New Roman"/>
          <w:b w:val="false"/>
          <w:bCs w:val="false"/>
          <w:i w:val="false"/>
          <w:iCs w:val="false"/>
          <w:sz w:val="24"/>
          <w:szCs w:val="24"/>
        </w:rPr>
        <w:t xml:space="preserve">, even though detection/dataset/README.md's round-1 log entry states “Source images: 7 (not committed — see .gitignore).” The .gitignore rules added alongside detection/'s tracking docs only exclude paths under detection/dataset/images/, exports/, and roboflow_export/, plus </w:t>
      </w:r>
      <w:r>
        <w:rPr>
          <w:rFonts w:ascii="Times New Roman" w:cs="Times New Roman" w:eastAsia="Times New Roman" w:hAnsi="Times New Roman"/>
          <w:b w:val="false"/>
          <w:bCs w:val="false"/>
          <w:i/>
          <w:iCs/>
          <w:sz w:val="24"/>
          <w:szCs w:val="24"/>
        </w:rPr>
        <w:t xml:space="preserve">.pt/</w:t>
      </w:r>
      <w:r>
        <w:rPr>
          <w:rFonts w:ascii="Times New Roman" w:cs="Times New Roman" w:eastAsia="Times New Roman" w:hAnsi="Times New Roman"/>
          <w:b w:val="false"/>
          <w:bCs w:val="false"/>
          <w:i w:val="false"/>
          <w:iCs w:val="false"/>
          <w:sz w:val="24"/>
          <w:szCs w:val="24"/>
        </w:rPr>
        <w:t xml:space="preserve">.onnx — they do </w:t>
      </w:r>
      <w:r>
        <w:rPr>
          <w:rFonts w:ascii="Times New Roman" w:cs="Times New Roman" w:eastAsia="Times New Roman" w:hAnsi="Times New Roman"/>
          <w:b/>
          <w:bCs/>
          <w:i w:val="false"/>
          <w:iCs w:val="false"/>
          <w:sz w:val="24"/>
          <w:szCs w:val="24"/>
        </w:rPr>
        <w:t xml:space="preserve">not</w:t>
      </w:r>
      <w:r>
        <w:rPr>
          <w:rFonts w:ascii="Times New Roman" w:cs="Times New Roman" w:eastAsia="Times New Roman" w:hAnsi="Times New Roman"/>
          <w:b w:val="false"/>
          <w:bCs w:val="false"/>
          <w:i w:val="false"/>
          <w:iCs w:val="false"/>
          <w:sz w:val="24"/>
          <w:szCs w:val="24"/>
        </w:rPr>
        <w:t xml:space="preserve"> cover a root-level dataset/ folder. This is a verified, first-hand finding from this study's repository inspection, not a hypothetical: the project team should confirm (a) whether these 7 images contain any identifiable person, and (b) whether they were meant to be committed at all, and adjust .gitignore/repository contents accordingly.</w:t>
      </w:r>
    </w:p>
    <w:p>
      <w:pPr>
        <w:spacing w:after="120" w:line="276"/>
        <w:ind w:left="36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i w:val="false"/>
          <w:iCs w:val="false"/>
          <w:sz w:val="24"/>
          <w:szCs w:val="24"/>
        </w:rPr>
        <w:t xml:space="preserve">A project overview note describes DOC-CAP-FINAL-2026-008 as “an external deliverable file, not stored in this repository,”</w:t>
      </w:r>
      <w:r>
        <w:rPr>
          <w:rFonts w:ascii="Times New Roman" w:cs="Times New Roman" w:eastAsia="Times New Roman" w:hAnsi="Times New Roman"/>
          <w:b w:val="false"/>
          <w:bCs w:val="false"/>
          <w:i w:val="false"/>
          <w:iCs w:val="false"/>
          <w:sz w:val="24"/>
          <w:szCs w:val="24"/>
        </w:rPr>
        <w:t xml:space="preserve"> but both the .docx and .pdf versions of that document are now present and committed in the repository root. This is a minor, low-stakes documentation staleness, noted here for completeness rather than acted on, since resolving it is outside this study's scope.</w:t>
      </w:r>
    </w:p>
    <w:p>
      <w:pPr>
        <w:spacing w:after="120" w:line="276"/>
        <w:ind w:left="36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i w:val="false"/>
          <w:iCs w:val="false"/>
          <w:sz w:val="24"/>
          <w:szCs w:val="24"/>
        </w:rPr>
        <w:t xml:space="preserve">DOC-CAP-FINAL-2026-008 itself names this Feasibility Study as one of the standalone documents still to be compiled for “Folder 2” of the final capstone submission</w:t>
      </w:r>
      <w:r>
        <w:rPr>
          <w:rFonts w:ascii="Times New Roman" w:cs="Times New Roman" w:eastAsia="Times New Roman" w:hAnsi="Times New Roman"/>
          <w:b w:val="false"/>
          <w:bCs w:val="false"/>
          <w:i w:val="false"/>
          <w:iCs w:val="false"/>
          <w:sz w:val="24"/>
          <w:szCs w:val="24"/>
        </w:rPr>
        <w:t xml:space="preserve"> — meaning this document is not incidental background work but a named deliverable in the project's own documented submission plan.</w:t>
      </w:r>
    </w:p>
    <w:p>
      <w:r>
        <w:br w:type="page"/>
      </w:r>
    </w:p>
    <w:p>
      <w:pPr>
        <w:pStyle w:val="Heading1"/>
        <w:spacing w:after="200" w:before="360"/>
      </w:pPr>
      <w:r>
        <w:t xml:space="preserve">11. Conclusion</w:t>
      </w:r>
    </w:p>
    <w:p>
      <w:pPr>
        <w:pStyle w:val="Heading2"/>
        <w:spacing w:after="160" w:before="280"/>
      </w:pPr>
      <w:r>
        <w:t xml:space="preserve">11.1 What Is Demonstrated Today</w:t>
      </w:r>
    </w:p>
    <w:p>
      <w:pPr>
        <w:spacing w:after="160" w:line="276"/>
        <w:jc w:val="both"/>
      </w:pPr>
      <w:r>
        <w:rPr>
          <w:rFonts w:ascii="Times New Roman" w:cs="Times New Roman" w:eastAsia="Times New Roman" w:hAnsi="Times New Roman"/>
          <w:b w:val="false"/>
          <w:bCs w:val="false"/>
          <w:i w:val="false"/>
          <w:iCs w:val="false"/>
          <w:sz w:val="24"/>
          <w:szCs w:val="24"/>
        </w:rPr>
        <w:t xml:space="preserve">The </w:t>
      </w:r>
      <w:r>
        <w:rPr>
          <w:rFonts w:ascii="Times New Roman" w:cs="Times New Roman" w:eastAsia="Times New Roman" w:hAnsi="Times New Roman"/>
          <w:b/>
          <w:bCs/>
          <w:i w:val="false"/>
          <w:iCs w:val="false"/>
          <w:sz w:val="24"/>
          <w:szCs w:val="24"/>
        </w:rPr>
        <w:t xml:space="preserve">review/browse/record half</w:t>
      </w:r>
      <w:r>
        <w:rPr>
          <w:rFonts w:ascii="Times New Roman" w:cs="Times New Roman" w:eastAsia="Times New Roman" w:hAnsi="Times New Roman"/>
          <w:b w:val="false"/>
          <w:bCs w:val="false"/>
          <w:i w:val="false"/>
          <w:iCs w:val="false"/>
          <w:sz w:val="24"/>
          <w:szCs w:val="24"/>
        </w:rPr>
        <w:t xml:space="preserve"> of BantayAralan is real and functional: a working Flask + vanilla-JS admin application with a five-screen information architecture (Dashboard, Events &amp; Logs, Event Detail, Head Count, Insights &amp; Statistics), a real background scheduler for automated head-count triggering, a real (if simple) SQLite schema, and a real, working light/dark theme system — all runnable today. This is meaningful evidence that the project team can design and ship a working, reasonably clean piece of software on a defined information architecture.</w:t>
      </w:r>
    </w:p>
    <w:p>
      <w:pPr>
        <w:pStyle w:val="Heading2"/>
        <w:spacing w:after="160" w:before="280"/>
      </w:pPr>
      <w:r>
        <w:t xml:space="preserve">11.2 What Is Not Yet Demonstrated</w:t>
      </w:r>
    </w:p>
    <w:p>
      <w:pPr>
        <w:spacing w:after="160" w:line="276"/>
        <w:jc w:val="both"/>
      </w:pPr>
      <w:r>
        <w:rPr>
          <w:rFonts w:ascii="Times New Roman" w:cs="Times New Roman" w:eastAsia="Times New Roman" w:hAnsi="Times New Roman"/>
          <w:b/>
          <w:bCs/>
          <w:i w:val="false"/>
          <w:iCs w:val="false"/>
          <w:sz w:val="24"/>
          <w:szCs w:val="24"/>
        </w:rPr>
        <w:t xml:space="preserve">Nothing about the computer-vision detection layer has been built, benchmarked, or piloted.</w:t>
      </w:r>
      <w:r>
        <w:rPr>
          <w:rFonts w:ascii="Times New Roman" w:cs="Times New Roman" w:eastAsia="Times New Roman" w:hAnsi="Times New Roman"/>
          <w:b w:val="false"/>
          <w:bCs w:val="false"/>
          <w:i w:val="false"/>
          <w:iCs w:val="false"/>
          <w:sz w:val="24"/>
          <w:szCs w:val="24"/>
        </w:rPr>
        <w:t xml:space="preserve"> No camera integration, no YOLOv8/ByteTrack code, no behavior or clutter/alignment logic, no real event generation, and no real evidence capture exist anywhere in this repository. Every accuracy, FPS, latency, or usability figure that might describe BantayAralan itself is, as of this study, </w:t>
      </w:r>
      <w:r>
        <w:rPr>
          <w:rFonts w:ascii="Times New Roman" w:cs="Times New Roman" w:eastAsia="Times New Roman" w:hAnsi="Times New Roman"/>
          <w:b/>
          <w:bCs/>
          <w:i w:val="false"/>
          <w:iCs w:val="false"/>
          <w:sz w:val="24"/>
          <w:szCs w:val="24"/>
        </w:rPr>
        <w:t xml:space="preserve">absent</w:t>
      </w:r>
      <w:r>
        <w:rPr>
          <w:rFonts w:ascii="Times New Roman" w:cs="Times New Roman" w:eastAsia="Times New Roman" w:hAnsi="Times New Roman"/>
          <w:b w:val="false"/>
          <w:bCs w:val="false"/>
          <w:i w:val="false"/>
          <w:iCs w:val="false"/>
          <w:sz w:val="24"/>
          <w:szCs w:val="24"/>
        </w:rPr>
        <w:t xml:space="preserve"> — the only numbers available are from third-party published research on comparable (not identical) systems, which this study has been careful not to present as BantayAralan's own results.</w:t>
      </w:r>
    </w:p>
    <w:p>
      <w:pPr>
        <w:pStyle w:val="Heading2"/>
        <w:spacing w:after="160" w:before="280"/>
      </w:pPr>
      <w:r>
        <w:t xml:space="preserve">11.3 Feasibility Judgment, by Dimension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7301"/>
      </w:tblGrid>
      <w:tr>
        <w:trPr>
          <w:tblHeader/>
        </w:trPr>
        <w:tc>
          <w:tcPr>
            <w:tcW w:type="dxa" w:w="2059"/>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Dimension</w:t>
            </w:r>
          </w:p>
        </w:tc>
        <w:tc>
          <w:tcPr>
            <w:tcW w:type="dxa" w:w="7301"/>
            <w:shd w:fill="D9E2F3" w:val="clear"/>
            <w:tcMar>
              <w:top w:type="dxa" w:w="60"/>
              <w:left w:type="dxa" w:w="100"/>
              <w:bottom w:type="dxa" w:w="60"/>
              <w:right w:type="dxa" w:w="100"/>
            </w:tcMar>
            <w:vAlign w:val="top"/>
          </w:tcPr>
          <w:p>
            <w:pPr>
              <w:spacing w:after="60" w:line="240"/>
            </w:pPr>
            <w:r>
              <w:rPr>
                <w:rFonts w:ascii="Times New Roman" w:cs="Times New Roman" w:eastAsia="Times New Roman" w:hAnsi="Times New Roman"/>
                <w:b/>
                <w:bCs/>
                <w:i w:val="false"/>
                <w:iCs w:val="false"/>
                <w:sz w:val="20"/>
                <w:szCs w:val="20"/>
              </w:rPr>
              <w:t xml:space="preserve">Judgment</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Technical</w:t>
            </w:r>
          </w:p>
        </w:tc>
        <w:tc>
          <w:tcPr>
            <w:tcW w:type="dxa" w:w="730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Conditionally feasible. The confirmed hardware (camera, switch, PC) and chosen software stack are individually sound, mature, and appropriately scoped for a single-classroom pilot; the two-pipeline design decomposition is sensible, and using pretrained models for the behavior/tracking half removes one major source of risk. The condition is that the entire CV integration effort — currently zero source code — still has to be built and validated.</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Market/Need</w:t>
            </w:r>
          </w:p>
        </w:tc>
        <w:tc>
          <w:tcPr>
            <w:tcW w:type="dxa" w:w="730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Feasible as an academic prototype. The underlying classroom-management and cleanliness problems are well-supported by cited literature; no commercial-market claim is made or needed.</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Operational</w:t>
            </w:r>
          </w:p>
        </w:tc>
        <w:tc>
          <w:tcPr>
            <w:tcW w:type="dxa" w:w="730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Conditionally feasible. The admin-UI workflow is realistic for a periodic-review use pattern; the biggest operational gap is the lack of any correction mechanism for a wrong automated reading, and the lack of any maintenance/support/backup plan.</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Economic</w:t>
            </w:r>
          </w:p>
        </w:tc>
        <w:tc>
          <w:tcPr>
            <w:tcW w:type="dxa" w:w="730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Feasible at pilot scale. Sourced hardware costs for a 1–2 camera classroom pilot are on the order of a few thousand pesos beyond already-owned equipment; local hosting avoids a real, sourced category of recurring cloud cost, at the acknowledged expense of cloud-grade redundancy.</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Legal/Regulatory</w:t>
            </w:r>
          </w:p>
        </w:tc>
        <w:tc>
          <w:tcPr>
            <w:tcW w:type="dxa" w:w="730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Not yet feasible to deploy — feasible to prepare for. The DPA 2012 and NPC Circular 2024-02 obligations (notice, lawful basis/consent, retention policy, privacy impact assessment) are all still open. Privacy-by-design choices make closing these gaps realistic, but they are not closed today.</w:t>
            </w:r>
          </w:p>
        </w:tc>
      </w:tr>
      <w:tr>
        <w:tc>
          <w:tcPr>
            <w:tcW w:type="dxa" w:w="2059"/>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Schedule</w:t>
            </w:r>
          </w:p>
        </w:tc>
        <w:tc>
          <w:tcPr>
            <w:tcW w:type="dxa" w:w="7301"/>
            <w:tcMar>
              <w:top w:type="dxa" w:w="60"/>
              <w:left w:type="dxa" w:w="100"/>
              <w:bottom w:type="dxa" w:w="60"/>
              <w:right w:type="dxa" w:w="100"/>
            </w:tcMar>
            <w:vAlign w:val="top"/>
          </w:tcPr>
          <w:p>
            <w:pPr>
              <w:spacing w:after="60" w:line="240"/>
            </w:pPr>
            <w:r>
              <w:rPr>
                <w:rFonts w:ascii="Times New Roman" w:cs="Times New Roman" w:eastAsia="Times New Roman" w:hAnsi="Times New Roman"/>
                <w:b w:val="false"/>
                <w:bCs w:val="false"/>
                <w:i w:val="false"/>
                <w:iCs w:val="false"/>
                <w:sz w:val="20"/>
                <w:szCs w:val="20"/>
              </w:rPr>
              <w:t xml:space="preserve">Behind its own original framing, timeline unclear. The proposal's “early 2026” note is stale; a large, well-sequenced body of work remains, with no currently-valid target date in the repository.</w:t>
            </w:r>
          </w:p>
        </w:tc>
      </w:tr>
    </w:tbl>
    <w:p>
      <w:pPr>
        <w:pStyle w:val="Heading2"/>
        <w:spacing w:after="160" w:before="280"/>
      </w:pPr>
      <w:r>
        <w:t xml:space="preserve">11.4 Conditions for Successful Implementation</w:t>
      </w:r>
    </w:p>
    <w:p>
      <w:pPr>
        <w:spacing w:after="160" w:line="276"/>
        <w:jc w:val="both"/>
      </w:pPr>
      <w:r>
        <w:rPr>
          <w:rFonts w:ascii="Times New Roman" w:cs="Times New Roman" w:eastAsia="Times New Roman" w:hAnsi="Times New Roman"/>
          <w:b w:val="false"/>
          <w:bCs w:val="false"/>
          <w:i w:val="false"/>
          <w:iCs w:val="false"/>
          <w:sz w:val="24"/>
          <w:szCs w:val="24"/>
        </w:rPr>
        <w:t xml:space="preserve">This study's overall finding is </w:t>
      </w:r>
      <w:r>
        <w:rPr>
          <w:rFonts w:ascii="Times New Roman" w:cs="Times New Roman" w:eastAsia="Times New Roman" w:hAnsi="Times New Roman"/>
          <w:b/>
          <w:bCs/>
          <w:i w:val="false"/>
          <w:iCs w:val="false"/>
          <w:sz w:val="24"/>
          <w:szCs w:val="24"/>
        </w:rPr>
        <w:t xml:space="preserve">conditional feasibility</w:t>
      </w:r>
      <w:r>
        <w:rPr>
          <w:rFonts w:ascii="Times New Roman" w:cs="Times New Roman" w:eastAsia="Times New Roman" w:hAnsi="Times New Roman"/>
          <w:b w:val="false"/>
          <w:bCs w:val="false"/>
          <w:i w:val="false"/>
          <w:iCs w:val="false"/>
          <w:sz w:val="24"/>
          <w:szCs w:val="24"/>
        </w:rPr>
        <w:t xml:space="preserve">: BantayAralan's proposed direction is technically, economically, and operationally reasonable for a single-classroom capstone pilot, provided the following are treated as hard prerequisites, not later cleanup:</w:t>
      </w:r>
    </w:p>
    <w:p>
      <w:pPr>
        <w:spacing w:after="120" w:line="276"/>
        <w:ind w:left="360" w:hanging="360"/>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i w:val="false"/>
          <w:iCs w:val="false"/>
          <w:sz w:val="24"/>
          <w:szCs w:val="24"/>
        </w:rPr>
        <w:t xml:space="preserve">Build and bench-test the CV pipeline</w:t>
      </w:r>
      <w:r>
        <w:rPr>
          <w:rFonts w:ascii="Times New Roman" w:cs="Times New Roman" w:eastAsia="Times New Roman" w:hAnsi="Times New Roman"/>
          <w:b w:val="false"/>
          <w:bCs w:val="false"/>
          <w:i w:val="false"/>
          <w:iCs w:val="false"/>
          <w:sz w:val="24"/>
          <w:szCs w:val="24"/>
        </w:rPr>
        <w:t xml:space="preserve"> against real classroom conditions (lighting, clutter, occlusion) before any claim of working detection is made in the thesis write-up.</w:t>
      </w:r>
    </w:p>
    <w:p>
      <w:pPr>
        <w:spacing w:after="120" w:line="276"/>
        <w:ind w:left="360" w:hanging="360"/>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i w:val="false"/>
          <w:iCs w:val="false"/>
          <w:sz w:val="24"/>
          <w:szCs w:val="24"/>
        </w:rPr>
        <w:t xml:space="preserve">Resolve the still-open hardware questions</w:t>
      </w:r>
      <w:r>
        <w:rPr>
          <w:rFonts w:ascii="Times New Roman" w:cs="Times New Roman" w:eastAsia="Times New Roman" w:hAnsi="Times New Roman"/>
          <w:b w:val="false"/>
          <w:bCs w:val="false"/>
          <w:i w:val="false"/>
          <w:iCs w:val="false"/>
          <w:sz w:val="24"/>
          <w:szCs w:val="24"/>
        </w:rPr>
        <w:t xml:space="preserve"> (camera role coverage, ingest protocol, PC form factor) with a documented decision, not an assumption carried forward silently.</w:t>
      </w:r>
    </w:p>
    <w:p>
      <w:pPr>
        <w:spacing w:after="120" w:line="276"/>
        <w:ind w:left="360" w:hanging="360"/>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i w:val="false"/>
          <w:iCs w:val="false"/>
          <w:sz w:val="24"/>
          <w:szCs w:val="24"/>
        </w:rPr>
        <w:t xml:space="preserve">Close the legal/regulatory gaps</w:t>
      </w:r>
      <w:r>
        <w:rPr>
          <w:rFonts w:ascii="Times New Roman" w:cs="Times New Roman" w:eastAsia="Times New Roman" w:hAnsi="Times New Roman"/>
          <w:b w:val="false"/>
          <w:bCs w:val="false"/>
          <w:i w:val="false"/>
          <w:iCs w:val="false"/>
          <w:sz w:val="24"/>
          <w:szCs w:val="24"/>
        </w:rPr>
        <w:t xml:space="preserve"> — a finalized retention policy, a defined consent/notice process, and adviser/ethics-committee sign-off — before any real classroom deployment, however small.</w:t>
      </w:r>
    </w:p>
    <w:p>
      <w:pPr>
        <w:spacing w:after="120" w:line="276"/>
        <w:ind w:left="360" w:hanging="360"/>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i w:val="false"/>
          <w:iCs w:val="false"/>
          <w:sz w:val="24"/>
          <w:szCs w:val="24"/>
        </w:rPr>
        <w:t xml:space="preserve">Add a correction mechanism</w:t>
      </w:r>
      <w:r>
        <w:rPr>
          <w:rFonts w:ascii="Times New Roman" w:cs="Times New Roman" w:eastAsia="Times New Roman" w:hAnsi="Times New Roman"/>
          <w:b w:val="false"/>
          <w:bCs w:val="false"/>
          <w:i w:val="false"/>
          <w:iCs w:val="false"/>
          <w:sz w:val="24"/>
          <w:szCs w:val="24"/>
        </w:rPr>
        <w:t xml:space="preserve"> for the automated head-count (or explicitly accept the current gap as a known limitation in the write-up, rather than leaving it unaddressed).</w:t>
      </w:r>
    </w:p>
    <w:p>
      <w:pPr>
        <w:spacing w:after="120" w:line="276"/>
        <w:ind w:left="360" w:hanging="360"/>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i w:val="false"/>
          <w:iCs w:val="false"/>
          <w:sz w:val="24"/>
          <w:szCs w:val="24"/>
        </w:rPr>
        <w:t xml:space="preserve">Run the methodology's own evaluation phase</w:t>
      </w:r>
      <w:r>
        <w:rPr>
          <w:rFonts w:ascii="Times New Roman" w:cs="Times New Roman" w:eastAsia="Times New Roman" w:hAnsi="Times New Roman"/>
          <w:b w:val="false"/>
          <w:bCs w:val="false"/>
          <w:i w:val="false"/>
          <w:iCs w:val="false"/>
          <w:sz w:val="24"/>
          <w:szCs w:val="24"/>
        </w:rPr>
        <w:t xml:space="preserve"> (pilot testing, teacher surveys) before asserting usability, effectiveness, or accuracy results in any academic deliverable.</w:t>
      </w:r>
    </w:p>
    <w:p>
      <w:pPr>
        <w:spacing w:after="120" w:line="276"/>
        <w:ind w:left="360" w:hanging="360"/>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i w:val="false"/>
          <w:iCs w:val="false"/>
          <w:sz w:val="24"/>
          <w:szCs w:val="24"/>
        </w:rPr>
        <w:t xml:space="preserve">Reconcile the internal documentation contradictions</w:t>
      </w:r>
      <w:r>
        <w:rPr>
          <w:rFonts w:ascii="Times New Roman" w:cs="Times New Roman" w:eastAsia="Times New Roman" w:hAnsi="Times New Roman"/>
          <w:b w:val="false"/>
          <w:bCs w:val="false"/>
          <w:i w:val="false"/>
          <w:iCs w:val="false"/>
          <w:sz w:val="24"/>
          <w:szCs w:val="24"/>
        </w:rPr>
        <w:t xml:space="preserve"> flagged in Section 10.4, particularly the ingest-protocol inconsistency and the dataset/ commit/.gitignore mismatch, before they propagate into the final capstone submission.</w:t>
      </w:r>
    </w:p>
    <w:p>
      <w:pPr>
        <w:spacing w:after="200"/>
      </w:pPr>
    </w:p>
    <w:p>
      <w:pPr>
        <w:spacing w:after="160" w:line="276"/>
        <w:jc w:val="both"/>
      </w:pPr>
      <w:r>
        <w:rPr>
          <w:rFonts w:ascii="Times New Roman" w:cs="Times New Roman" w:eastAsia="Times New Roman" w:hAnsi="Times New Roman"/>
          <w:b w:val="false"/>
          <w:bCs w:val="false"/>
          <w:i w:val="false"/>
          <w:iCs w:val="false"/>
          <w:sz w:val="24"/>
          <w:szCs w:val="24"/>
        </w:rPr>
        <w:t xml:space="preserve">None of these conditions is disqualifying on its own — each is a normal, addressable step for a capstone at this stage. Collectively, they define the gap between “a working admin UI prototype exists” (true today) and “a working, privacy-compliant, evaluated BantayAralan system exists” (not yet true), and that gap is exactly what the remaining project timeline needs to close.</w:t>
      </w:r>
    </w:p>
    <w:p>
      <w:r>
        <w:br w:type="page"/>
      </w:r>
    </w:p>
    <w:p>
      <w:pPr>
        <w:pStyle w:val="Heading1"/>
        <w:spacing w:after="200" w:before="360"/>
      </w:pPr>
      <w:r>
        <w:t xml:space="preserve">12. References</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Amazon Web Services. (n.d.-a). </w:t>
      </w:r>
      <w:r>
        <w:rPr>
          <w:rFonts w:ascii="Times New Roman" w:cs="Times New Roman" w:eastAsia="Times New Roman" w:hAnsi="Times New Roman"/>
          <w:b w:val="false"/>
          <w:bCs w:val="false"/>
          <w:i/>
          <w:iCs/>
          <w:sz w:val="24"/>
          <w:szCs w:val="24"/>
        </w:rPr>
        <w:t xml:space="preserve">Amazon S3 pricing</w:t>
      </w:r>
      <w:r>
        <w:rPr>
          <w:rFonts w:ascii="Times New Roman" w:cs="Times New Roman" w:eastAsia="Times New Roman" w:hAnsi="Times New Roman"/>
          <w:b w:val="false"/>
          <w:bCs w:val="false"/>
          <w:i w:val="false"/>
          <w:iCs w:val="false"/>
          <w:sz w:val="24"/>
          <w:szCs w:val="24"/>
        </w:rPr>
        <w:t xml:space="preserve">. Retrieved September 26, 2026, from https://aws.amazon.com/s3/pricing/</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Amazon Web Services. (n.d.-b). </w:t>
      </w:r>
      <w:r>
        <w:rPr>
          <w:rFonts w:ascii="Times New Roman" w:cs="Times New Roman" w:eastAsia="Times New Roman" w:hAnsi="Times New Roman"/>
          <w:b w:val="false"/>
          <w:bCs w:val="false"/>
          <w:i/>
          <w:iCs/>
          <w:sz w:val="24"/>
          <w:szCs w:val="24"/>
        </w:rPr>
        <w:t xml:space="preserve">Amazon RDS for MySQL pricing</w:t>
      </w:r>
      <w:r>
        <w:rPr>
          <w:rFonts w:ascii="Times New Roman" w:cs="Times New Roman" w:eastAsia="Times New Roman" w:hAnsi="Times New Roman"/>
          <w:b w:val="false"/>
          <w:bCs w:val="false"/>
          <w:i w:val="false"/>
          <w:iCs w:val="false"/>
          <w:sz w:val="24"/>
          <w:szCs w:val="24"/>
        </w:rPr>
        <w:t xml:space="preserve">. Retrieved September 26, 2026, from https://aws.amazon.com/rds/mysql/pricing/</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Bermorzone. (n.d.). </w:t>
      </w:r>
      <w:r>
        <w:rPr>
          <w:rFonts w:ascii="Times New Roman" w:cs="Times New Roman" w:eastAsia="Times New Roman" w:hAnsi="Times New Roman"/>
          <w:b w:val="false"/>
          <w:bCs w:val="false"/>
          <w:i/>
          <w:iCs/>
          <w:sz w:val="24"/>
          <w:szCs w:val="24"/>
        </w:rPr>
        <w:t xml:space="preserve">TP-Link VIGI C320I (2.8/4/6mm) 2MP outdoor IR bullet network camera</w:t>
      </w:r>
      <w:r>
        <w:rPr>
          <w:rFonts w:ascii="Times New Roman" w:cs="Times New Roman" w:eastAsia="Times New Roman" w:hAnsi="Times New Roman"/>
          <w:b w:val="false"/>
          <w:bCs w:val="false"/>
          <w:i w:val="false"/>
          <w:iCs w:val="false"/>
          <w:sz w:val="24"/>
          <w:szCs w:val="24"/>
        </w:rPr>
        <w:t xml:space="preserve"> [Product listing]. Retrieved September 26, 2026, from https://bermorzone.com.ph/shop/cctv-securities/cctv-camera/tp-link-vigi-c320i-2-8-4-6mm-2mp-outdoor-ir-bullet-network-camera/</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BigGo Philippines. (n.d.). </w:t>
      </w:r>
      <w:r>
        <w:rPr>
          <w:rFonts w:ascii="Times New Roman" w:cs="Times New Roman" w:eastAsia="Times New Roman" w:hAnsi="Times New Roman"/>
          <w:b w:val="false"/>
          <w:bCs w:val="false"/>
          <w:i/>
          <w:iCs/>
          <w:sz w:val="24"/>
          <w:szCs w:val="24"/>
        </w:rPr>
        <w:t xml:space="preserve">TL-SG1005LP price &amp; voucher</w:t>
      </w:r>
      <w:r>
        <w:rPr>
          <w:rFonts w:ascii="Times New Roman" w:cs="Times New Roman" w:eastAsia="Times New Roman" w:hAnsi="Times New Roman"/>
          <w:b w:val="false"/>
          <w:bCs w:val="false"/>
          <w:i w:val="false"/>
          <w:iCs w:val="false"/>
          <w:sz w:val="24"/>
          <w:szCs w:val="24"/>
        </w:rPr>
        <w:t xml:space="preserve"> [Retail price aggregator]. Retrieved September 26, 2026, from https://ph.biggo.com/s/tl-sg1005lp/</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Ćali, M., Lazimi, L., &amp; Ippoliti, B. M. L. (2024). Relationship between student engagement and academic performance. </w:t>
      </w:r>
      <w:r>
        <w:rPr>
          <w:rFonts w:ascii="Times New Roman" w:cs="Times New Roman" w:eastAsia="Times New Roman" w:hAnsi="Times New Roman"/>
          <w:b w:val="false"/>
          <w:bCs w:val="false"/>
          <w:i/>
          <w:iCs/>
          <w:sz w:val="24"/>
          <w:szCs w:val="24"/>
        </w:rPr>
        <w:t xml:space="preserve">International Journal of Educational Research and Evaluation (IJERE), 13</w:t>
      </w:r>
      <w:r>
        <w:rPr>
          <w:rFonts w:ascii="Times New Roman" w:cs="Times New Roman" w:eastAsia="Times New Roman" w:hAnsi="Times New Roman"/>
          <w:b w:val="false"/>
          <w:bCs w:val="false"/>
          <w:i w:val="false"/>
          <w:iCs w:val="false"/>
          <w:sz w:val="24"/>
          <w:szCs w:val="24"/>
        </w:rPr>
        <w:t xml:space="preserve">(4), 2210.</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Carousell Philippines. (n.d.). </w:t>
      </w:r>
      <w:r>
        <w:rPr>
          <w:rFonts w:ascii="Times New Roman" w:cs="Times New Roman" w:eastAsia="Times New Roman" w:hAnsi="Times New Roman"/>
          <w:b w:val="false"/>
          <w:bCs w:val="false"/>
          <w:i/>
          <w:iCs/>
          <w:sz w:val="24"/>
          <w:szCs w:val="24"/>
        </w:rPr>
        <w:t xml:space="preserve">RTX 2060 for sale</w:t>
      </w:r>
      <w:r>
        <w:rPr>
          <w:rFonts w:ascii="Times New Roman" w:cs="Times New Roman" w:eastAsia="Times New Roman" w:hAnsi="Times New Roman"/>
          <w:b w:val="false"/>
          <w:bCs w:val="false"/>
          <w:i w:val="false"/>
          <w:iCs w:val="false"/>
          <w:sz w:val="24"/>
          <w:szCs w:val="24"/>
        </w:rPr>
        <w:t xml:space="preserve"> [Marketplace listings]. Retrieved September 26, 2026, from https://www.carousell.ph/rtx-2060/q/</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Department of Education, Republic of the Philippines. (2012). </w:t>
      </w:r>
      <w:r>
        <w:rPr>
          <w:rFonts w:ascii="Times New Roman" w:cs="Times New Roman" w:eastAsia="Times New Roman" w:hAnsi="Times New Roman"/>
          <w:b w:val="false"/>
          <w:bCs w:val="false"/>
          <w:i/>
          <w:iCs/>
          <w:sz w:val="24"/>
          <w:szCs w:val="24"/>
        </w:rPr>
        <w:t xml:space="preserve">DepEd Order No. 40, s. 2012: DepEd Child Protection Policy</w:t>
      </w:r>
      <w:r>
        <w:rPr>
          <w:rFonts w:ascii="Times New Roman" w:cs="Times New Roman" w:eastAsia="Times New Roman" w:hAnsi="Times New Roman"/>
          <w:b w:val="false"/>
          <w:bCs w:val="false"/>
          <w:i w:val="false"/>
          <w:iCs w:val="false"/>
          <w:sz w:val="24"/>
          <w:szCs w:val="24"/>
        </w:rPr>
        <w:t xml:space="preserve">. https://www.deped.gov.ph/2012/05/14/do-40-s-2012-deped-child-protection-policy/</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Dilabayan, N., &amp; Sambo, T. (2024). Teachers classroom management and disciplinary practices towards learners' behavior. </w:t>
      </w:r>
      <w:r>
        <w:rPr>
          <w:rFonts w:ascii="Times New Roman" w:cs="Times New Roman" w:eastAsia="Times New Roman" w:hAnsi="Times New Roman"/>
          <w:b w:val="false"/>
          <w:bCs w:val="false"/>
          <w:i/>
          <w:iCs/>
          <w:sz w:val="24"/>
          <w:szCs w:val="24"/>
        </w:rPr>
        <w:t xml:space="preserve">Zenodo</w:t>
      </w:r>
      <w:r>
        <w:rPr>
          <w:rFonts w:ascii="Times New Roman" w:cs="Times New Roman" w:eastAsia="Times New Roman" w:hAnsi="Times New Roman"/>
          <w:b w:val="false"/>
          <w:bCs w:val="false"/>
          <w:i w:val="false"/>
          <w:iCs w:val="false"/>
          <w:sz w:val="24"/>
          <w:szCs w:val="24"/>
        </w:rPr>
        <w:t xml:space="preserve">.</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DivinaLaw. (n.d.). </w:t>
      </w:r>
      <w:r>
        <w:rPr>
          <w:rFonts w:ascii="Times New Roman" w:cs="Times New Roman" w:eastAsia="Times New Roman" w:hAnsi="Times New Roman"/>
          <w:b w:val="false"/>
          <w:bCs w:val="false"/>
          <w:i/>
          <w:iCs/>
          <w:sz w:val="24"/>
          <w:szCs w:val="24"/>
        </w:rPr>
        <w:t xml:space="preserve">Updated NPC guidelines on the use of CCTV systems</w:t>
      </w:r>
      <w:r>
        <w:rPr>
          <w:rFonts w:ascii="Times New Roman" w:cs="Times New Roman" w:eastAsia="Times New Roman" w:hAnsi="Times New Roman"/>
          <w:b w:val="false"/>
          <w:bCs w:val="false"/>
          <w:i w:val="false"/>
          <w:iCs w:val="false"/>
          <w:sz w:val="24"/>
          <w:szCs w:val="24"/>
        </w:rPr>
        <w:t xml:space="preserve">. Retrieved September 26, 2026, from https://www.divinalaw.com/dose-of-law/updated-npc-guidelines-on-the-use-of-cctv-systems/</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Global Compliance News. (2020, December 20). </w:t>
      </w:r>
      <w:r>
        <w:rPr>
          <w:rFonts w:ascii="Times New Roman" w:cs="Times New Roman" w:eastAsia="Times New Roman" w:hAnsi="Times New Roman"/>
          <w:b w:val="false"/>
          <w:bCs w:val="false"/>
          <w:i/>
          <w:iCs/>
          <w:sz w:val="24"/>
          <w:szCs w:val="24"/>
        </w:rPr>
        <w:t xml:space="preserve">Philippines: CCTV use guidelines issued by the Philippine National Privacy Commission</w:t>
      </w:r>
      <w:r>
        <w:rPr>
          <w:rFonts w:ascii="Times New Roman" w:cs="Times New Roman" w:eastAsia="Times New Roman" w:hAnsi="Times New Roman"/>
          <w:b w:val="false"/>
          <w:bCs w:val="false"/>
          <w:i w:val="false"/>
          <w:iCs w:val="false"/>
          <w:sz w:val="24"/>
          <w:szCs w:val="24"/>
        </w:rPr>
        <w:t xml:space="preserve">. https://www.globalcompliancenews.com/2020/12/20/philippines-ctv-use-guidelines-issued-by-the-phillipine-national-privacy-commission24112020/</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Hamidi, H., et al. (2024). The effect of outcome-based education on behavior of students. </w:t>
      </w:r>
      <w:r>
        <w:rPr>
          <w:rFonts w:ascii="Times New Roman" w:cs="Times New Roman" w:eastAsia="Times New Roman" w:hAnsi="Times New Roman"/>
          <w:b w:val="false"/>
          <w:bCs w:val="false"/>
          <w:i/>
          <w:iCs/>
          <w:sz w:val="24"/>
          <w:szCs w:val="24"/>
        </w:rPr>
        <w:t xml:space="preserve">European Journal of Theoretical and Applied Sciences, 2</w:t>
      </w:r>
      <w:r>
        <w:rPr>
          <w:rFonts w:ascii="Times New Roman" w:cs="Times New Roman" w:eastAsia="Times New Roman" w:hAnsi="Times New Roman"/>
          <w:b w:val="false"/>
          <w:bCs w:val="false"/>
          <w:i w:val="false"/>
          <w:iCs w:val="false"/>
          <w:sz w:val="24"/>
          <w:szCs w:val="24"/>
        </w:rPr>
        <w:t xml:space="preserve">(2), 764–773.</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Jocher, G., Chaurasia, A., &amp; Qiu, J. (2023). </w:t>
      </w:r>
      <w:r>
        <w:rPr>
          <w:rFonts w:ascii="Times New Roman" w:cs="Times New Roman" w:eastAsia="Times New Roman" w:hAnsi="Times New Roman"/>
          <w:b w:val="false"/>
          <w:bCs w:val="false"/>
          <w:i/>
          <w:iCs/>
          <w:sz w:val="24"/>
          <w:szCs w:val="24"/>
        </w:rPr>
        <w:t xml:space="preserve">Ultralytics YOLOv8</w:t>
      </w:r>
      <w:r>
        <w:rPr>
          <w:rFonts w:ascii="Times New Roman" w:cs="Times New Roman" w:eastAsia="Times New Roman" w:hAnsi="Times New Roman"/>
          <w:b w:val="false"/>
          <w:bCs w:val="false"/>
          <w:i w:val="false"/>
          <w:iCs w:val="false"/>
          <w:sz w:val="24"/>
          <w:szCs w:val="24"/>
        </w:rPr>
        <w:t xml:space="preserve"> [Software]. Ultralytics. https://docs.ultralytics.com/models/yolov8</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Lin, F., et al. (2021). Student behavior recognition system for the classroom environment based on skeleton pose estimation and person detection. </w:t>
      </w:r>
      <w:r>
        <w:rPr>
          <w:rFonts w:ascii="Times New Roman" w:cs="Times New Roman" w:eastAsia="Times New Roman" w:hAnsi="Times New Roman"/>
          <w:b w:val="false"/>
          <w:bCs w:val="false"/>
          <w:i/>
          <w:iCs/>
          <w:sz w:val="24"/>
          <w:szCs w:val="24"/>
        </w:rPr>
        <w:t xml:space="preserve">Sensors, 21</w:t>
      </w:r>
      <w:r>
        <w:rPr>
          <w:rFonts w:ascii="Times New Roman" w:cs="Times New Roman" w:eastAsia="Times New Roman" w:hAnsi="Times New Roman"/>
          <w:b w:val="false"/>
          <w:bCs w:val="false"/>
          <w:i w:val="false"/>
          <w:iCs w:val="false"/>
          <w:sz w:val="24"/>
          <w:szCs w:val="24"/>
        </w:rPr>
        <w:t xml:space="preserve">(16), 5314.</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Magsambol, B. (2025, February 4). “Repetitive paperwork” distracts teachers from classroom focus. </w:t>
      </w:r>
      <w:r>
        <w:rPr>
          <w:rFonts w:ascii="Times New Roman" w:cs="Times New Roman" w:eastAsia="Times New Roman" w:hAnsi="Times New Roman"/>
          <w:b w:val="false"/>
          <w:bCs w:val="false"/>
          <w:i/>
          <w:iCs/>
          <w:sz w:val="24"/>
          <w:szCs w:val="24"/>
        </w:rPr>
        <w:t xml:space="preserve">Rappler</w:t>
      </w:r>
      <w:r>
        <w:rPr>
          <w:rFonts w:ascii="Times New Roman" w:cs="Times New Roman" w:eastAsia="Times New Roman" w:hAnsi="Times New Roman"/>
          <w:b w:val="false"/>
          <w:bCs w:val="false"/>
          <w:i w:val="false"/>
          <w:iCs w:val="false"/>
          <w:sz w:val="24"/>
          <w:szCs w:val="24"/>
        </w:rPr>
        <w:t xml:space="preserve">.</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National Privacy Commission, Republic of the Philippines. (2024). </w:t>
      </w:r>
      <w:r>
        <w:rPr>
          <w:rFonts w:ascii="Times New Roman" w:cs="Times New Roman" w:eastAsia="Times New Roman" w:hAnsi="Times New Roman"/>
          <w:b w:val="false"/>
          <w:bCs w:val="false"/>
          <w:i/>
          <w:iCs/>
          <w:sz w:val="24"/>
          <w:szCs w:val="24"/>
        </w:rPr>
        <w:t xml:space="preserve">NPC Circular No. 2024-02: Guidelines on the use of closed-circuit television (CCTV) systems</w:t>
      </w:r>
      <w:r>
        <w:rPr>
          <w:rFonts w:ascii="Times New Roman" w:cs="Times New Roman" w:eastAsia="Times New Roman" w:hAnsi="Times New Roman"/>
          <w:b w:val="false"/>
          <w:bCs w:val="false"/>
          <w:i w:val="false"/>
          <w:iCs w:val="false"/>
          <w:sz w:val="24"/>
          <w:szCs w:val="24"/>
        </w:rPr>
        <w:t xml:space="preserve">. https://privacy.gov.ph/npc-issues-circular-on-cctv-systems/</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Official Gazette of the Republic of the Philippines. (2012). </w:t>
      </w:r>
      <w:r>
        <w:rPr>
          <w:rFonts w:ascii="Times New Roman" w:cs="Times New Roman" w:eastAsia="Times New Roman" w:hAnsi="Times New Roman"/>
          <w:b w:val="false"/>
          <w:bCs w:val="false"/>
          <w:i/>
          <w:iCs/>
          <w:sz w:val="24"/>
          <w:szCs w:val="24"/>
        </w:rPr>
        <w:t xml:space="preserve">Republic Act No. 10173 — Data Privacy Act of 2012</w:t>
      </w:r>
      <w:r>
        <w:rPr>
          <w:rFonts w:ascii="Times New Roman" w:cs="Times New Roman" w:eastAsia="Times New Roman" w:hAnsi="Times New Roman"/>
          <w:b w:val="false"/>
          <w:bCs w:val="false"/>
          <w:i w:val="false"/>
          <w:iCs w:val="false"/>
          <w:sz w:val="24"/>
          <w:szCs w:val="24"/>
        </w:rPr>
        <w:t xml:space="preserve">. https://www.officialgazette.gov.ph/2012/08/15/republic-act-no-10173/</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PC Express. (n.d.). </w:t>
      </w:r>
      <w:r>
        <w:rPr>
          <w:rFonts w:ascii="Times New Roman" w:cs="Times New Roman" w:eastAsia="Times New Roman" w:hAnsi="Times New Roman"/>
          <w:b w:val="false"/>
          <w:bCs w:val="false"/>
          <w:i/>
          <w:iCs/>
          <w:sz w:val="24"/>
          <w:szCs w:val="24"/>
        </w:rPr>
        <w:t xml:space="preserve">Desktop PCs — GeForce RTX 4060</w:t>
      </w:r>
      <w:r>
        <w:rPr>
          <w:rFonts w:ascii="Times New Roman" w:cs="Times New Roman" w:eastAsia="Times New Roman" w:hAnsi="Times New Roman"/>
          <w:b w:val="false"/>
          <w:bCs w:val="false"/>
          <w:i w:val="false"/>
          <w:iCs w:val="false"/>
          <w:sz w:val="24"/>
          <w:szCs w:val="24"/>
        </w:rPr>
        <w:t xml:space="preserve"> [Product listings]. Retrieved September 26, 2026, from https://pcx.com.ph/collections/desktop-pcs/geforce-rtx™-4060</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PriceMe Philippines. (n.d.). </w:t>
      </w:r>
      <w:r>
        <w:rPr>
          <w:rFonts w:ascii="Times New Roman" w:cs="Times New Roman" w:eastAsia="Times New Roman" w:hAnsi="Times New Roman"/>
          <w:b w:val="false"/>
          <w:bCs w:val="false"/>
          <w:i/>
          <w:iCs/>
          <w:sz w:val="24"/>
          <w:szCs w:val="24"/>
        </w:rPr>
        <w:t xml:space="preserve">Gigabyte GeForce RTX 2060 OC 6GB GDDR6 — PH prices</w:t>
      </w:r>
      <w:r>
        <w:rPr>
          <w:rFonts w:ascii="Times New Roman" w:cs="Times New Roman" w:eastAsia="Times New Roman" w:hAnsi="Times New Roman"/>
          <w:b w:val="false"/>
          <w:bCs w:val="false"/>
          <w:i w:val="false"/>
          <w:iCs w:val="false"/>
          <w:sz w:val="24"/>
          <w:szCs w:val="24"/>
        </w:rPr>
        <w:t xml:space="preserve">. Retrieved September 26, 2026, from https://ph.priceme.com/Gigabyte-GeForce-RTX-2060-OC-6GB-GDDR6/p-911940954.aspx</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Republic of the Philippines. (2012). </w:t>
      </w:r>
      <w:r>
        <w:rPr>
          <w:rFonts w:ascii="Times New Roman" w:cs="Times New Roman" w:eastAsia="Times New Roman" w:hAnsi="Times New Roman"/>
          <w:b w:val="false"/>
          <w:bCs w:val="false"/>
          <w:i/>
          <w:iCs/>
          <w:sz w:val="24"/>
          <w:szCs w:val="24"/>
        </w:rPr>
        <w:t xml:space="preserve">Republic Act No. 10173, Data Privacy Act of 2012</w:t>
      </w:r>
      <w:r>
        <w:rPr>
          <w:rFonts w:ascii="Times New Roman" w:cs="Times New Roman" w:eastAsia="Times New Roman" w:hAnsi="Times New Roman"/>
          <w:b w:val="false"/>
          <w:bCs w:val="false"/>
          <w:i w:val="false"/>
          <w:iCs w:val="false"/>
          <w:sz w:val="24"/>
          <w:szCs w:val="24"/>
        </w:rPr>
        <w:t xml:space="preserve">. National Privacy Commission. https://privacy.gov.ph/data-privacy-act/</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Respicio &amp; Co. (n.d.-a). </w:t>
      </w:r>
      <w:r>
        <w:rPr>
          <w:rFonts w:ascii="Times New Roman" w:cs="Times New Roman" w:eastAsia="Times New Roman" w:hAnsi="Times New Roman"/>
          <w:b w:val="false"/>
          <w:bCs w:val="false"/>
          <w:i/>
          <w:iCs/>
          <w:sz w:val="24"/>
          <w:szCs w:val="24"/>
        </w:rPr>
        <w:t xml:space="preserve">Use of CCTV in schools under the Philippine Data Privacy Act</w:t>
      </w:r>
      <w:r>
        <w:rPr>
          <w:rFonts w:ascii="Times New Roman" w:cs="Times New Roman" w:eastAsia="Times New Roman" w:hAnsi="Times New Roman"/>
          <w:b w:val="false"/>
          <w:bCs w:val="false"/>
          <w:i w:val="false"/>
          <w:iCs w:val="false"/>
          <w:sz w:val="24"/>
          <w:szCs w:val="24"/>
        </w:rPr>
        <w:t xml:space="preserve">. Retrieved September 26, 2026, from https://www.respicio.ph/commentaries/use-of-cctv-in-schools-under-the-philippine-data-privacy-act</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Respicio &amp; Co. (n.d.-b). </w:t>
      </w:r>
      <w:r>
        <w:rPr>
          <w:rFonts w:ascii="Times New Roman" w:cs="Times New Roman" w:eastAsia="Times New Roman" w:hAnsi="Times New Roman"/>
          <w:b w:val="false"/>
          <w:bCs w:val="false"/>
          <w:i/>
          <w:iCs/>
          <w:sz w:val="24"/>
          <w:szCs w:val="24"/>
        </w:rPr>
        <w:t xml:space="preserve">Are classroom CCTVs legal? Data privacy and consent rules for schools (Philippines)</w:t>
      </w:r>
      <w:r>
        <w:rPr>
          <w:rFonts w:ascii="Times New Roman" w:cs="Times New Roman" w:eastAsia="Times New Roman" w:hAnsi="Times New Roman"/>
          <w:b w:val="false"/>
          <w:bCs w:val="false"/>
          <w:i w:val="false"/>
          <w:iCs w:val="false"/>
          <w:sz w:val="24"/>
          <w:szCs w:val="24"/>
        </w:rPr>
        <w:t xml:space="preserve">. Retrieved September 26, 2026, from https://www.respicio.ph/commentaries/are-classroom-cctvs-legal-data-privacy-and-consent-rules-for-schools-philippines</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Reyes, M. F., et al. (2024). Perceptions and impact of students' satisfaction on cleanliness with school environments. </w:t>
      </w:r>
      <w:r>
        <w:rPr>
          <w:rFonts w:ascii="Times New Roman" w:cs="Times New Roman" w:eastAsia="Times New Roman" w:hAnsi="Times New Roman"/>
          <w:b w:val="false"/>
          <w:bCs w:val="false"/>
          <w:i/>
          <w:iCs/>
          <w:sz w:val="24"/>
          <w:szCs w:val="24"/>
        </w:rPr>
        <w:t xml:space="preserve">International Journal of Multidisciplinary Research and Growth Evaluation (IJMRGE), 5</w:t>
      </w:r>
      <w:r>
        <w:rPr>
          <w:rFonts w:ascii="Times New Roman" w:cs="Times New Roman" w:eastAsia="Times New Roman" w:hAnsi="Times New Roman"/>
          <w:b w:val="false"/>
          <w:bCs w:val="false"/>
          <w:i w:val="false"/>
          <w:iCs w:val="false"/>
          <w:sz w:val="24"/>
          <w:szCs w:val="24"/>
        </w:rPr>
        <w:t xml:space="preserve">(3), 877–885.</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Sheng, X., Li, S., &amp; Chan, S. (2025). Real-time classroom student behavior detection based on improved YOLOv8s. </w:t>
      </w:r>
      <w:r>
        <w:rPr>
          <w:rFonts w:ascii="Times New Roman" w:cs="Times New Roman" w:eastAsia="Times New Roman" w:hAnsi="Times New Roman"/>
          <w:b w:val="false"/>
          <w:bCs w:val="false"/>
          <w:i/>
          <w:iCs/>
          <w:sz w:val="24"/>
          <w:szCs w:val="24"/>
        </w:rPr>
        <w:t xml:space="preserve">Scientific Reports, 15</w:t>
      </w:r>
      <w:r>
        <w:rPr>
          <w:rFonts w:ascii="Times New Roman" w:cs="Times New Roman" w:eastAsia="Times New Roman" w:hAnsi="Times New Roman"/>
          <w:b w:val="false"/>
          <w:bCs w:val="false"/>
          <w:i w:val="false"/>
          <w:iCs w:val="false"/>
          <w:sz w:val="24"/>
          <w:szCs w:val="24"/>
        </w:rPr>
        <w:t xml:space="preserve">(1), 14470.</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TP-Link Philippines. (n.d.-a). </w:t>
      </w:r>
      <w:r>
        <w:rPr>
          <w:rFonts w:ascii="Times New Roman" w:cs="Times New Roman" w:eastAsia="Times New Roman" w:hAnsi="Times New Roman"/>
          <w:b w:val="false"/>
          <w:bCs w:val="false"/>
          <w:i/>
          <w:iCs/>
          <w:sz w:val="24"/>
          <w:szCs w:val="24"/>
        </w:rPr>
        <w:t xml:space="preserve">VIGI C320I — VIGI 2MP outdoor IR bullet network camera</w:t>
      </w:r>
      <w:r>
        <w:rPr>
          <w:rFonts w:ascii="Times New Roman" w:cs="Times New Roman" w:eastAsia="Times New Roman" w:hAnsi="Times New Roman"/>
          <w:b w:val="false"/>
          <w:bCs w:val="false"/>
          <w:i w:val="false"/>
          <w:iCs w:val="false"/>
          <w:sz w:val="24"/>
          <w:szCs w:val="24"/>
        </w:rPr>
        <w:t xml:space="preserve">. Retrieved September 26, 2026, from https://www.tp-link.com/ph/business-networking/vigi-network-camera/vigi-c320i/</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TP-Link Philippines. (n.d.-b). </w:t>
      </w:r>
      <w:r>
        <w:rPr>
          <w:rFonts w:ascii="Times New Roman" w:cs="Times New Roman" w:eastAsia="Times New Roman" w:hAnsi="Times New Roman"/>
          <w:b w:val="false"/>
          <w:bCs w:val="false"/>
          <w:i/>
          <w:iCs/>
          <w:sz w:val="24"/>
          <w:szCs w:val="24"/>
        </w:rPr>
        <w:t xml:space="preserve">TL-SG1005LP — 5-port Gigabit desktop switch with 4-port PoE+</w:t>
      </w:r>
      <w:r>
        <w:rPr>
          <w:rFonts w:ascii="Times New Roman" w:cs="Times New Roman" w:eastAsia="Times New Roman" w:hAnsi="Times New Roman"/>
          <w:b w:val="false"/>
          <w:bCs w:val="false"/>
          <w:i w:val="false"/>
          <w:iCs w:val="false"/>
          <w:sz w:val="24"/>
          <w:szCs w:val="24"/>
        </w:rPr>
        <w:t xml:space="preserve">. Retrieved September 26, 2026, from https://www.tp-link.com/ph/business-networking/poe-switch/tl-sg1005lp/</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Unicorp Philippines. (n.d.). </w:t>
      </w:r>
      <w:r>
        <w:rPr>
          <w:rFonts w:ascii="Times New Roman" w:cs="Times New Roman" w:eastAsia="Times New Roman" w:hAnsi="Times New Roman"/>
          <w:b w:val="false"/>
          <w:bCs w:val="false"/>
          <w:i/>
          <w:iCs/>
          <w:sz w:val="24"/>
          <w:szCs w:val="24"/>
        </w:rPr>
        <w:t xml:space="preserve">Gaming PC price Philippines 2026: Budget, mid-range, and high-end builds</w:t>
      </w:r>
      <w:r>
        <w:rPr>
          <w:rFonts w:ascii="Times New Roman" w:cs="Times New Roman" w:eastAsia="Times New Roman" w:hAnsi="Times New Roman"/>
          <w:b w:val="false"/>
          <w:bCs w:val="false"/>
          <w:i w:val="false"/>
          <w:iCs w:val="false"/>
          <w:sz w:val="24"/>
          <w:szCs w:val="24"/>
        </w:rPr>
        <w:t xml:space="preserve">. Retrieved September 26, 2026, from https://unicorp.ph/blog/gaming-pc-price-philippines-2026</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Yang, L. (2024). Application of online teaching-based classroom behavior capture and analysis system in student management. </w:t>
      </w:r>
      <w:r>
        <w:rPr>
          <w:rFonts w:ascii="Times New Roman" w:cs="Times New Roman" w:eastAsia="Times New Roman" w:hAnsi="Times New Roman"/>
          <w:b w:val="false"/>
          <w:bCs w:val="false"/>
          <w:i/>
          <w:iCs/>
          <w:sz w:val="24"/>
          <w:szCs w:val="24"/>
        </w:rPr>
        <w:t xml:space="preserve">Journal of Intelligent Systems, 33</w:t>
      </w:r>
      <w:r>
        <w:rPr>
          <w:rFonts w:ascii="Times New Roman" w:cs="Times New Roman" w:eastAsia="Times New Roman" w:hAnsi="Times New Roman"/>
          <w:b w:val="false"/>
          <w:bCs w:val="false"/>
          <w:i w:val="false"/>
          <w:iCs w:val="false"/>
          <w:sz w:val="24"/>
          <w:szCs w:val="24"/>
        </w:rPr>
        <w:t xml:space="preserve">(1).</w:t>
      </w:r>
    </w:p>
    <w:p>
      <w:pPr>
        <w:spacing w:after="200" w:line="276"/>
        <w:ind w:left="360" w:hanging="360"/>
        <w:jc w:val="both"/>
      </w:pPr>
      <w:r>
        <w:rPr>
          <w:rFonts w:ascii="Times New Roman" w:cs="Times New Roman" w:eastAsia="Times New Roman" w:hAnsi="Times New Roman"/>
          <w:b w:val="false"/>
          <w:bCs w:val="false"/>
          <w:i w:val="false"/>
          <w:iCs w:val="false"/>
          <w:sz w:val="24"/>
          <w:szCs w:val="24"/>
        </w:rPr>
        <w:t xml:space="preserve">Zhang, Y., Sun, P., Jiang, Y., Yu, D., Weng, F., Yuan, Z., Luo, P., Liu, W., &amp; Wang, X. (2022). ByteTrack: Multi-object tracking by associating every detection box. In </w:t>
      </w:r>
      <w:r>
        <w:rPr>
          <w:rFonts w:ascii="Times New Roman" w:cs="Times New Roman" w:eastAsia="Times New Roman" w:hAnsi="Times New Roman"/>
          <w:b w:val="false"/>
          <w:bCs w:val="false"/>
          <w:i/>
          <w:iCs/>
          <w:sz w:val="24"/>
          <w:szCs w:val="24"/>
        </w:rPr>
        <w:t xml:space="preserve">Proceedings of the European Conference on Computer Vision (ECCV 2022)</w:t>
      </w:r>
      <w:r>
        <w:rPr>
          <w:rFonts w:ascii="Times New Roman" w:cs="Times New Roman" w:eastAsia="Times New Roman" w:hAnsi="Times New Roman"/>
          <w:b w:val="false"/>
          <w:bCs w:val="false"/>
          <w:i w:val="false"/>
          <w:iCs w:val="false"/>
          <w:sz w:val="24"/>
          <w:szCs w:val="24"/>
        </w:rPr>
        <w:t xml:space="preserve">. https://doi.org/10.1007/978-3-031-20047-2_1</w:t>
      </w:r>
    </w:p>
    <w:p>
      <w:pPr>
        <w:spacing w:after="200"/>
      </w:pPr>
    </w:p>
    <w:p>
      <w:pPr>
        <w:spacing w:after="160" w:line="276"/>
        <w:jc w:val="both"/>
      </w:pPr>
      <w:r>
        <w:rPr>
          <w:rFonts w:ascii="Times New Roman" w:cs="Times New Roman" w:eastAsia="Times New Roman" w:hAnsi="Times New Roman"/>
          <w:b w:val="false"/>
          <w:bCs w:val="false"/>
          <w:i/>
          <w:iCs/>
          <w:sz w:val="24"/>
          <w:szCs w:val="24"/>
        </w:rPr>
        <w:t xml:space="preserve">Additional literature cited by reference in Section 2 (Ćali et al., 2024; Dilabayan &amp; Sambo, 2024; Hamidi et al., 2024; Reyes et al., 2024; Lin et al., 2021; Sheng, Li, &amp; Chan, 2025; Yang, 2024; Bashkirova et al., 2021; Magsambol, 2025) are drawn from the project's own proposal reference list; full citations are not duplicated here to avoid maintaining two divergent copies of the same 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666666"/>
        <w:sz w:val="18"/>
        <w:szCs w:val="18"/>
      </w:rPr>
      <w:t xml:space="preserve">BantayAralan Feasibility Study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2E74B5"/>
      <w:sz w:val="32"/>
      <w:szCs w:val="32"/>
    </w:rPr>
  </w:style>
  <w:style w:type="paragraph" w:styleId="Heading2">
    <w:name w:val="Heading 2"/>
    <w:basedOn w:val="Normal"/>
    <w:next w:val="Normal"/>
    <w:qFormat/>
    <w:pPr>
      <w:spacing w:after="160" w:before="280"/>
      <w:outlineLvl w:val="1"/>
    </w:pPr>
    <w:rPr>
      <w:rFonts w:ascii="Times New Roman" w:cs="Times New Roman" w:eastAsia="Times New Roman" w:hAnsi="Times New Roman"/>
      <w:b/>
      <w:bCs/>
      <w:color w:val="2E74B5"/>
      <w:sz w:val="26"/>
      <w:szCs w:val="26"/>
    </w:rPr>
  </w:style>
  <w:style w:type="paragraph" w:styleId="Heading3">
    <w:name w:val="Heading 3"/>
    <w:basedOn w:val="Normal"/>
    <w:next w:val="Normal"/>
    <w:qFormat/>
    <w:pPr>
      <w:spacing w:after="120" w:before="220"/>
      <w:outlineLvl w:val="2"/>
    </w:pPr>
    <w:rPr>
      <w:rFonts w:ascii="Times New Roman" w:cs="Times New Roman" w:eastAsia="Times New Roman" w:hAnsi="Times New Roman"/>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2026-09-26T04:33:06.140Z</dcterms:created>
  <dcterms:modified xsi:type="dcterms:W3CDTF">2026-09-26T04:33:07.896Z</dcterms:modified>
</cp:coreProperties>
</file>

<file path=docProps/custom.xml><?xml version="1.0" encoding="utf-8"?>
<Properties xmlns="http://schemas.openxmlformats.org/officeDocument/2006/custom-properties" xmlns:vt="http://schemas.openxmlformats.org/officeDocument/2006/docPropsVTypes"/>
</file>