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E7355" w14:textId="2A2AE2C7" w:rsidR="006D0500" w:rsidRDefault="006D0500" w:rsidP="006D0500">
      <w:pPr>
        <w:pStyle w:val="Geenafstand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Tabel A.  Vergelijking BM22 met DAQ</w:t>
      </w:r>
    </w:p>
    <w:p w14:paraId="3157FB42" w14:textId="77777777" w:rsidR="006D0500" w:rsidRDefault="006D0500" w:rsidP="006D0500">
      <w:pPr>
        <w:pStyle w:val="Geenafstand"/>
        <w:rPr>
          <w:rFonts w:ascii="Arial" w:hAnsi="Arial" w:cs="Arial"/>
          <w:b/>
          <w:bCs/>
        </w:rPr>
      </w:pPr>
    </w:p>
    <w:p w14:paraId="0ACFE28D" w14:textId="77777777" w:rsidR="006D0500" w:rsidRPr="00AE1FAE" w:rsidRDefault="006D0500" w:rsidP="006D0500">
      <w:pPr>
        <w:pStyle w:val="Geenafstand"/>
        <w:rPr>
          <w:rFonts w:ascii="Arial" w:hAnsi="Arial" w:cs="Arial"/>
          <w:b/>
          <w:bCs/>
        </w:rPr>
      </w:pPr>
      <w:r w:rsidRPr="00F350A8">
        <w:rPr>
          <w:rFonts w:ascii="Arial" w:hAnsi="Arial" w:cs="Arial"/>
          <w:b/>
          <w:bCs/>
        </w:rPr>
        <w:t>Vergelijking van de DAQ en BM22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3075"/>
        <w:gridCol w:w="3275"/>
      </w:tblGrid>
      <w:tr w:rsidR="006D0500" w:rsidRPr="00AE1FAE" w14:paraId="31D88C82" w14:textId="77777777" w:rsidTr="00FA0012">
        <w:trPr>
          <w:tblHeader/>
          <w:tblCellSpacing w:w="15" w:type="dxa"/>
        </w:trPr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6432F464" w14:textId="77777777" w:rsidR="006D0500" w:rsidRPr="0081321F" w:rsidRDefault="006D0500" w:rsidP="00FA0012">
            <w:pPr>
              <w:pStyle w:val="Geenafstand"/>
              <w:jc w:val="center"/>
              <w:rPr>
                <w:rFonts w:ascii="Arial" w:hAnsi="Arial" w:cs="Arial"/>
                <w:b/>
                <w:bCs/>
              </w:rPr>
            </w:pPr>
            <w:r w:rsidRPr="0081321F">
              <w:rPr>
                <w:rFonts w:ascii="Arial" w:hAnsi="Arial" w:cs="Arial"/>
                <w:b/>
                <w:bCs/>
              </w:rPr>
              <w:t>Kenmerk</w:t>
            </w:r>
          </w:p>
        </w:tc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11D690E0" w14:textId="77777777" w:rsidR="006D0500" w:rsidRPr="0081321F" w:rsidRDefault="006D0500" w:rsidP="00FA0012">
            <w:pPr>
              <w:pStyle w:val="Geenafstand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1321F">
              <w:rPr>
                <w:rFonts w:ascii="Arial" w:hAnsi="Arial" w:cs="Arial"/>
                <w:b/>
                <w:bCs/>
              </w:rPr>
              <w:t>Movilog</w:t>
            </w:r>
            <w:proofErr w:type="spellEnd"/>
            <w:r w:rsidRPr="0081321F">
              <w:rPr>
                <w:rFonts w:ascii="Arial" w:hAnsi="Arial" w:cs="Arial"/>
                <w:b/>
                <w:bCs/>
              </w:rPr>
              <w:t xml:space="preserve"> BM22</w:t>
            </w:r>
          </w:p>
        </w:tc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6F808E1B" w14:textId="77777777" w:rsidR="006D0500" w:rsidRPr="0081321F" w:rsidRDefault="006D0500" w:rsidP="00FA0012">
            <w:pPr>
              <w:pStyle w:val="Geenafstand"/>
              <w:jc w:val="center"/>
              <w:rPr>
                <w:rFonts w:ascii="Arial" w:hAnsi="Arial" w:cs="Arial"/>
                <w:b/>
                <w:bCs/>
              </w:rPr>
            </w:pPr>
            <w:r w:rsidRPr="0081321F">
              <w:rPr>
                <w:rFonts w:ascii="Arial" w:hAnsi="Arial" w:cs="Arial"/>
                <w:b/>
                <w:bCs/>
              </w:rPr>
              <w:t xml:space="preserve">Data </w:t>
            </w:r>
            <w:proofErr w:type="spellStart"/>
            <w:r w:rsidRPr="0081321F">
              <w:rPr>
                <w:rFonts w:ascii="Arial" w:hAnsi="Arial" w:cs="Arial"/>
                <w:b/>
                <w:bCs/>
              </w:rPr>
              <w:t>Translation</w:t>
            </w:r>
            <w:proofErr w:type="spellEnd"/>
            <w:r w:rsidRPr="0081321F">
              <w:rPr>
                <w:rFonts w:ascii="Arial" w:hAnsi="Arial" w:cs="Arial"/>
                <w:b/>
                <w:bCs/>
              </w:rPr>
              <w:t xml:space="preserve"> DAQ</w:t>
            </w:r>
          </w:p>
        </w:tc>
      </w:tr>
      <w:tr w:rsidR="006D0500" w:rsidRPr="00AE1FAE" w14:paraId="16EE5540" w14:textId="77777777" w:rsidTr="00FA001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B9323E0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6D4419C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</w:rPr>
              <w:t>Embedded apparaat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07E5D378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</w:rPr>
              <w:t>Embedded apparaat</w:t>
            </w:r>
          </w:p>
        </w:tc>
      </w:tr>
      <w:tr w:rsidR="006D0500" w:rsidRPr="00AE1FAE" w14:paraId="6FE09055" w14:textId="77777777" w:rsidTr="00FA0012">
        <w:trPr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504923A2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  <w:b/>
                <w:bCs/>
              </w:rPr>
              <w:t>Interface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20E8DE36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</w:rPr>
              <w:t>TFT-scherm met knoppen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20A187B9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</w:rPr>
              <w:t>Geen eigen display, software-interface op laptop</w:t>
            </w:r>
          </w:p>
        </w:tc>
      </w:tr>
      <w:tr w:rsidR="006D0500" w:rsidRPr="00AE1FAE" w14:paraId="6F189FDB" w14:textId="77777777" w:rsidTr="00FA001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150DFBB3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  <w:b/>
                <w:bCs/>
              </w:rPr>
              <w:t>Bediening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47DCE61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</w:rPr>
              <w:t>Start/stopknop, navigatieknoppen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79633C99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</w:rPr>
              <w:t>Bediening via software</w:t>
            </w:r>
          </w:p>
        </w:tc>
      </w:tr>
      <w:tr w:rsidR="006D0500" w:rsidRPr="00AE1FAE" w14:paraId="38137F38" w14:textId="77777777" w:rsidTr="00FA0012">
        <w:trPr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1EB99284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  <w:b/>
                <w:bCs/>
              </w:rPr>
              <w:t>Voeding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50369277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</w:rPr>
              <w:t>12V-aansluiting</w:t>
            </w:r>
            <w:r w:rsidRPr="00AE1FAE">
              <w:rPr>
                <w:rFonts w:ascii="Arial" w:hAnsi="Arial" w:cs="Arial"/>
              </w:rPr>
              <w:t xml:space="preserve"> (rechtstreeks op de accu)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589DC821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</w:rPr>
              <w:t>12V-aansluiting</w:t>
            </w:r>
          </w:p>
        </w:tc>
      </w:tr>
      <w:tr w:rsidR="006D0500" w:rsidRPr="00AE1FAE" w14:paraId="6FD00ADC" w14:textId="77777777" w:rsidTr="00FA001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5F044A07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  <w:b/>
                <w:bCs/>
              </w:rPr>
              <w:t>Opslag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4298E1B5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</w:rPr>
              <w:t>SD-kaart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7E17BD8F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</w:rPr>
              <w:t>Txt-bestand op laptop</w:t>
            </w:r>
          </w:p>
        </w:tc>
      </w:tr>
      <w:tr w:rsidR="006D0500" w:rsidRPr="00AE1FAE" w14:paraId="7570A81D" w14:textId="77777777" w:rsidTr="00FA0012">
        <w:trPr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1B3D9A20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  <w:b/>
                <w:bCs/>
              </w:rPr>
              <w:t>Sensortechnologie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254E8F60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  <w:lang w:val="en-US"/>
              </w:rPr>
            </w:pPr>
            <w:r w:rsidRPr="0081321F">
              <w:rPr>
                <w:rFonts w:ascii="Arial" w:hAnsi="Arial" w:cs="Arial"/>
                <w:lang w:val="en-US"/>
              </w:rPr>
              <w:t xml:space="preserve">3-assige </w:t>
            </w:r>
            <w:r w:rsidRPr="00AE1FAE">
              <w:rPr>
                <w:rFonts w:ascii="Arial" w:hAnsi="Arial" w:cs="Arial"/>
                <w:lang w:val="en-US"/>
              </w:rPr>
              <w:t>gyroscope</w:t>
            </w:r>
            <w:r w:rsidRPr="0081321F">
              <w:rPr>
                <w:rFonts w:ascii="Arial" w:hAnsi="Arial" w:cs="Arial"/>
                <w:lang w:val="en-US"/>
              </w:rPr>
              <w:t>, GPS-module, RTC (1 kHz)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51DF0FDE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</w:rPr>
              <w:t>Digitale en analoge ingangen, RTC (10 kHz)</w:t>
            </w:r>
          </w:p>
        </w:tc>
      </w:tr>
      <w:tr w:rsidR="006D0500" w:rsidRPr="00AE1FAE" w14:paraId="43A5520E" w14:textId="77777777" w:rsidTr="00FA001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7DEE5306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  <w:b/>
                <w:bCs/>
              </w:rPr>
              <w:t>Aansluitingen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AF3FC00" w14:textId="77777777" w:rsidR="006D0500" w:rsidRPr="0081321F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AE1FAE">
              <w:rPr>
                <w:rFonts w:ascii="Arial" w:hAnsi="Arial" w:cs="Arial"/>
              </w:rPr>
              <w:t>M-12 voor e</w:t>
            </w:r>
            <w:r w:rsidRPr="0081321F">
              <w:rPr>
                <w:rFonts w:ascii="Arial" w:hAnsi="Arial" w:cs="Arial"/>
              </w:rPr>
              <w:t>xterne GPS-antenne, SD-kaartslot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  <w:hideMark/>
          </w:tcPr>
          <w:p w14:paraId="3D17585A" w14:textId="77777777" w:rsidR="006D0500" w:rsidRPr="0081321F" w:rsidRDefault="006D0500" w:rsidP="00FA0012">
            <w:pPr>
              <w:pStyle w:val="Geenafstand"/>
              <w:keepNext/>
              <w:rPr>
                <w:rFonts w:ascii="Arial" w:hAnsi="Arial" w:cs="Arial"/>
              </w:rPr>
            </w:pPr>
            <w:r w:rsidRPr="0081321F">
              <w:rPr>
                <w:rFonts w:ascii="Arial" w:hAnsi="Arial" w:cs="Arial"/>
              </w:rPr>
              <w:t>USB naar laptop, M12 voor lichtpoortsensor</w:t>
            </w:r>
          </w:p>
        </w:tc>
      </w:tr>
      <w:tr w:rsidR="006D0500" w:rsidRPr="00AE1FAE" w14:paraId="020A15E5" w14:textId="77777777" w:rsidTr="00FA0012">
        <w:trPr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</w:tcPr>
          <w:p w14:paraId="3849C95D" w14:textId="77777777" w:rsidR="006D0500" w:rsidRPr="00AE1FAE" w:rsidRDefault="006D0500" w:rsidP="00FA0012">
            <w:pPr>
              <w:pStyle w:val="Geenafstand"/>
              <w:rPr>
                <w:rFonts w:ascii="Arial" w:hAnsi="Arial" w:cs="Arial"/>
                <w:b/>
                <w:bCs/>
              </w:rPr>
            </w:pPr>
            <w:r w:rsidRPr="00AE1FAE">
              <w:rPr>
                <w:rFonts w:ascii="Arial" w:hAnsi="Arial" w:cs="Arial"/>
                <w:b/>
                <w:bCs/>
              </w:rPr>
              <w:t>Mobiliteit &amp; Montage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1BECC4E" w14:textId="77777777" w:rsidR="006D0500" w:rsidRPr="00AE1FAE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AE1FAE">
              <w:rPr>
                <w:rFonts w:ascii="Arial" w:hAnsi="Arial" w:cs="Arial"/>
              </w:rPr>
              <w:t>Handzaam, klein en draagbaar. Geplaatst met een zuignap aan de (voor)ruit.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FB085CF" w14:textId="77777777" w:rsidR="006D0500" w:rsidRPr="00AE1FAE" w:rsidRDefault="006D0500" w:rsidP="00FA0012">
            <w:pPr>
              <w:pStyle w:val="Geenafstand"/>
              <w:keepNext/>
              <w:rPr>
                <w:rFonts w:ascii="Arial" w:hAnsi="Arial" w:cs="Arial"/>
              </w:rPr>
            </w:pPr>
            <w:r w:rsidRPr="00AE1FAE">
              <w:rPr>
                <w:rFonts w:ascii="Arial" w:hAnsi="Arial" w:cs="Arial"/>
              </w:rPr>
              <w:t>Niet handzaam, vereist een laptop en bekabeling. Meestal in de kofferbak of op de achterbank geplaatst.</w:t>
            </w:r>
          </w:p>
        </w:tc>
      </w:tr>
      <w:tr w:rsidR="006D0500" w:rsidRPr="00AE1FAE" w14:paraId="48EA97A1" w14:textId="77777777" w:rsidTr="00FA001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</w:tcPr>
          <w:p w14:paraId="57F6A571" w14:textId="77777777" w:rsidR="006D0500" w:rsidRPr="00AE1FAE" w:rsidRDefault="006D0500" w:rsidP="00FA0012">
            <w:pPr>
              <w:pStyle w:val="Geenafstand"/>
              <w:rPr>
                <w:rFonts w:ascii="Arial" w:hAnsi="Arial" w:cs="Arial"/>
                <w:b/>
                <w:bCs/>
              </w:rPr>
            </w:pPr>
            <w:r w:rsidRPr="00AE1FAE">
              <w:rPr>
                <w:rFonts w:ascii="Arial" w:hAnsi="Arial" w:cs="Arial"/>
                <w:b/>
                <w:bCs/>
              </w:rPr>
              <w:t>Soft- en hardware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2C35C32F" w14:textId="77777777" w:rsidR="006D0500" w:rsidRPr="00AE1FAE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AE1FAE">
              <w:rPr>
                <w:rFonts w:ascii="Arial" w:hAnsi="Arial" w:cs="Arial"/>
              </w:rPr>
              <w:t>Niet gespecificeerd.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258DB878" w14:textId="77777777" w:rsidR="006D0500" w:rsidRPr="00AE1FAE" w:rsidRDefault="006D0500" w:rsidP="00FA0012">
            <w:pPr>
              <w:pStyle w:val="Geenafstand"/>
              <w:keepNext/>
              <w:rPr>
                <w:rFonts w:ascii="Arial" w:hAnsi="Arial" w:cs="Arial"/>
              </w:rPr>
            </w:pPr>
            <w:r w:rsidRPr="00AE1FAE">
              <w:rPr>
                <w:rFonts w:ascii="Arial" w:hAnsi="Arial" w:cs="Arial"/>
              </w:rPr>
              <w:t>Niet gespecificeerd.</w:t>
            </w:r>
          </w:p>
        </w:tc>
      </w:tr>
      <w:tr w:rsidR="006D0500" w:rsidRPr="00AE1FAE" w14:paraId="58447EAE" w14:textId="77777777" w:rsidTr="00FA0012">
        <w:trPr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</w:tcPr>
          <w:p w14:paraId="6AC7D2A1" w14:textId="77777777" w:rsidR="006D0500" w:rsidRPr="00AE1FAE" w:rsidRDefault="006D0500" w:rsidP="00FA0012">
            <w:pPr>
              <w:pStyle w:val="Geenafstand"/>
              <w:rPr>
                <w:rFonts w:ascii="Arial" w:hAnsi="Arial" w:cs="Arial"/>
                <w:b/>
                <w:bCs/>
              </w:rPr>
            </w:pPr>
            <w:r w:rsidRPr="00AE1FAE">
              <w:rPr>
                <w:rFonts w:ascii="Arial" w:hAnsi="Arial" w:cs="Arial"/>
                <w:b/>
                <w:bCs/>
              </w:rPr>
              <w:t>Leeftijd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EE84DD9" w14:textId="77777777" w:rsidR="006D0500" w:rsidRPr="00AE1FAE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AE1FAE">
              <w:rPr>
                <w:rFonts w:ascii="Arial" w:hAnsi="Arial" w:cs="Arial"/>
              </w:rPr>
              <w:t>6 jaar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00FF2BEB" w14:textId="77777777" w:rsidR="006D0500" w:rsidRPr="00AE1FAE" w:rsidRDefault="006D0500" w:rsidP="00FA0012">
            <w:pPr>
              <w:pStyle w:val="Geenafstand"/>
              <w:keepNext/>
              <w:rPr>
                <w:rFonts w:ascii="Arial" w:hAnsi="Arial" w:cs="Arial"/>
              </w:rPr>
            </w:pPr>
            <w:r w:rsidRPr="00AE1FAE">
              <w:rPr>
                <w:rFonts w:ascii="Arial" w:hAnsi="Arial" w:cs="Arial"/>
              </w:rPr>
              <w:t>10 jaar</w:t>
            </w:r>
          </w:p>
        </w:tc>
      </w:tr>
      <w:tr w:rsidR="006D0500" w:rsidRPr="00AE1FAE" w14:paraId="4FD71726" w14:textId="77777777" w:rsidTr="00FA001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</w:tcPr>
          <w:p w14:paraId="56BCCEC6" w14:textId="77777777" w:rsidR="006D0500" w:rsidRPr="00AE1FAE" w:rsidRDefault="006D0500" w:rsidP="00FA0012">
            <w:pPr>
              <w:pStyle w:val="Geenafstand"/>
              <w:rPr>
                <w:rFonts w:ascii="Arial" w:hAnsi="Arial" w:cs="Arial"/>
                <w:b/>
                <w:bCs/>
              </w:rPr>
            </w:pPr>
            <w:r w:rsidRPr="00AE1FAE">
              <w:rPr>
                <w:rFonts w:ascii="Arial" w:hAnsi="Arial" w:cs="Arial"/>
                <w:b/>
                <w:bCs/>
              </w:rPr>
              <w:t>Onderhoud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24556703" w14:textId="77777777" w:rsidR="006D0500" w:rsidRPr="00AE1FAE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AE1FAE">
              <w:rPr>
                <w:rFonts w:ascii="Arial" w:hAnsi="Arial" w:cs="Arial"/>
              </w:rPr>
              <w:t>Wordt iedere 2 jaar gekalibreerd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7B5D92D6" w14:textId="77777777" w:rsidR="006D0500" w:rsidRPr="00AE1FAE" w:rsidRDefault="006D0500" w:rsidP="00FA0012">
            <w:pPr>
              <w:pStyle w:val="Geenafstand"/>
              <w:keepNext/>
              <w:rPr>
                <w:rFonts w:ascii="Arial" w:hAnsi="Arial" w:cs="Arial"/>
              </w:rPr>
            </w:pPr>
            <w:r w:rsidRPr="00AE1FAE">
              <w:rPr>
                <w:rFonts w:ascii="Arial" w:hAnsi="Arial" w:cs="Arial"/>
              </w:rPr>
              <w:t>Wordt nooit gekalibreerd.</w:t>
            </w:r>
          </w:p>
        </w:tc>
      </w:tr>
      <w:tr w:rsidR="006D0500" w:rsidRPr="00AE1FAE" w14:paraId="5D86F5DB" w14:textId="77777777" w:rsidTr="00FA0012">
        <w:trPr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</w:tcPr>
          <w:p w14:paraId="099FECF1" w14:textId="77777777" w:rsidR="006D0500" w:rsidRPr="00AE1FAE" w:rsidRDefault="006D0500" w:rsidP="00FA0012">
            <w:pPr>
              <w:pStyle w:val="Geenafstand"/>
              <w:rPr>
                <w:rFonts w:ascii="Arial" w:hAnsi="Arial" w:cs="Arial"/>
                <w:b/>
                <w:bCs/>
              </w:rPr>
            </w:pPr>
            <w:r w:rsidRPr="00AE1FAE">
              <w:rPr>
                <w:rFonts w:ascii="Arial" w:hAnsi="Arial" w:cs="Arial"/>
                <w:b/>
                <w:bCs/>
              </w:rPr>
              <w:t>Kosten*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57518EC0" w14:textId="77777777" w:rsidR="006D0500" w:rsidRPr="00AE1FAE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AE1FAE">
              <w:rPr>
                <w:rFonts w:ascii="Arial" w:hAnsi="Arial" w:cs="Arial"/>
              </w:rPr>
              <w:t>± 3500 euro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</w:tcPr>
          <w:p w14:paraId="6EDE343D" w14:textId="77777777" w:rsidR="006D0500" w:rsidRPr="00AE1FAE" w:rsidRDefault="006D0500" w:rsidP="00FA0012">
            <w:pPr>
              <w:pStyle w:val="Geenafstand"/>
              <w:keepNext/>
              <w:rPr>
                <w:rFonts w:ascii="Arial" w:hAnsi="Arial" w:cs="Arial"/>
              </w:rPr>
            </w:pPr>
            <w:r w:rsidRPr="00AE1FAE">
              <w:rPr>
                <w:rFonts w:ascii="Arial" w:hAnsi="Arial" w:cs="Arial"/>
              </w:rPr>
              <w:t>± 2200 euro</w:t>
            </w:r>
          </w:p>
        </w:tc>
      </w:tr>
      <w:tr w:rsidR="006D0500" w:rsidRPr="00AE1FAE" w14:paraId="5CDFC17B" w14:textId="77777777" w:rsidTr="00FA0012">
        <w:trPr>
          <w:tblCellSpacing w:w="15" w:type="dxa"/>
        </w:trPr>
        <w:tc>
          <w:tcPr>
            <w:tcW w:w="0" w:type="auto"/>
            <w:shd w:val="clear" w:color="auto" w:fill="C1E4F5" w:themeFill="accent1" w:themeFillTint="33"/>
            <w:vAlign w:val="center"/>
          </w:tcPr>
          <w:p w14:paraId="1D92A967" w14:textId="77777777" w:rsidR="006D0500" w:rsidRPr="00AE1FAE" w:rsidRDefault="006D0500" w:rsidP="00FA0012">
            <w:pPr>
              <w:pStyle w:val="Geenafstand"/>
              <w:rPr>
                <w:rFonts w:ascii="Arial" w:hAnsi="Arial" w:cs="Arial"/>
                <w:b/>
                <w:bCs/>
              </w:rPr>
            </w:pPr>
            <w:r w:rsidRPr="00AE1FAE">
              <w:rPr>
                <w:rFonts w:ascii="Arial" w:hAnsi="Arial" w:cs="Arial"/>
                <w:b/>
                <w:bCs/>
              </w:rPr>
              <w:t>Betrouwbaarheid &amp; Softwarefunctionaliteit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1E799BE7" w14:textId="77777777" w:rsidR="006D0500" w:rsidRPr="00AE1FAE" w:rsidRDefault="006D0500" w:rsidP="00FA0012">
            <w:pPr>
              <w:pStyle w:val="Geenafstand"/>
              <w:rPr>
                <w:rFonts w:ascii="Arial" w:hAnsi="Arial" w:cs="Arial"/>
              </w:rPr>
            </w:pPr>
            <w:r w:rsidRPr="00AE1FAE">
              <w:rPr>
                <w:rFonts w:ascii="Arial" w:hAnsi="Arial" w:cs="Arial"/>
              </w:rPr>
              <w:t>Over het algemeen goed, weinig storingen. Echter, een niet-oplosbare softwarefout vereist een arbeidsintensieve herberekening.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3A5EAB55" w14:textId="77777777" w:rsidR="006D0500" w:rsidRPr="00AE1FAE" w:rsidRDefault="006D0500" w:rsidP="00FA0012">
            <w:pPr>
              <w:pStyle w:val="Geenafstand"/>
              <w:keepNext/>
              <w:rPr>
                <w:rFonts w:ascii="Arial" w:hAnsi="Arial" w:cs="Arial"/>
              </w:rPr>
            </w:pPr>
            <w:r w:rsidRPr="00AE1FAE">
              <w:rPr>
                <w:rFonts w:ascii="Arial" w:hAnsi="Arial" w:cs="Arial"/>
              </w:rPr>
              <w:t>Goede betrouwbaarheid, functioneert zonder grote softwareproblemen. Software niet compatibel met nieuwste Windows-versies.</w:t>
            </w:r>
          </w:p>
        </w:tc>
      </w:tr>
    </w:tbl>
    <w:p w14:paraId="43B158A9" w14:textId="77777777" w:rsidR="006D0500" w:rsidRDefault="006D0500" w:rsidP="006D0500">
      <w:pPr>
        <w:pStyle w:val="Bijschrift"/>
        <w:rPr>
          <w:rFonts w:ascii="Arial" w:hAnsi="Arial" w:cs="Arial"/>
          <w:color w:val="auto"/>
        </w:rPr>
      </w:pPr>
      <w:r w:rsidRPr="00AE1FAE">
        <w:rPr>
          <w:rFonts w:ascii="Arial" w:hAnsi="Arial" w:cs="Arial"/>
          <w:b/>
          <w:bCs/>
          <w:color w:val="auto"/>
        </w:rPr>
        <w:t xml:space="preserve">Tabel </w:t>
      </w:r>
      <w:r w:rsidRPr="00AE1FAE">
        <w:rPr>
          <w:rFonts w:ascii="Arial" w:hAnsi="Arial" w:cs="Arial"/>
          <w:b/>
          <w:bCs/>
          <w:color w:val="auto"/>
        </w:rPr>
        <w:fldChar w:fldCharType="begin"/>
      </w:r>
      <w:r w:rsidRPr="00AE1FAE">
        <w:rPr>
          <w:rFonts w:ascii="Arial" w:hAnsi="Arial" w:cs="Arial"/>
          <w:b/>
          <w:bCs/>
          <w:color w:val="auto"/>
        </w:rPr>
        <w:instrText xml:space="preserve"> SEQ Tabel \* ARABIC </w:instrText>
      </w:r>
      <w:r w:rsidRPr="00AE1FAE">
        <w:rPr>
          <w:rFonts w:ascii="Arial" w:hAnsi="Arial" w:cs="Arial"/>
          <w:b/>
          <w:bCs/>
          <w:color w:val="auto"/>
        </w:rPr>
        <w:fldChar w:fldCharType="separate"/>
      </w:r>
      <w:r w:rsidRPr="00AE1FAE">
        <w:rPr>
          <w:rFonts w:ascii="Arial" w:hAnsi="Arial" w:cs="Arial"/>
          <w:b/>
          <w:bCs/>
          <w:noProof/>
          <w:color w:val="auto"/>
        </w:rPr>
        <w:t>1</w:t>
      </w:r>
      <w:r w:rsidRPr="00AE1FAE">
        <w:rPr>
          <w:rFonts w:ascii="Arial" w:hAnsi="Arial" w:cs="Arial"/>
          <w:b/>
          <w:bCs/>
          <w:color w:val="auto"/>
        </w:rPr>
        <w:fldChar w:fldCharType="end"/>
      </w:r>
      <w:r w:rsidRPr="00AE1FAE">
        <w:rPr>
          <w:rFonts w:ascii="Arial" w:hAnsi="Arial" w:cs="Arial"/>
          <w:b/>
          <w:bCs/>
          <w:color w:val="auto"/>
        </w:rPr>
        <w:t xml:space="preserve">: </w:t>
      </w:r>
      <w:r w:rsidRPr="00AE1FAE">
        <w:rPr>
          <w:rFonts w:ascii="Arial" w:hAnsi="Arial" w:cs="Arial"/>
          <w:color w:val="auto"/>
        </w:rPr>
        <w:t xml:space="preserve">Vergelijking van de </w:t>
      </w:r>
      <w:proofErr w:type="spellStart"/>
      <w:r w:rsidRPr="00AE1FAE">
        <w:rPr>
          <w:rFonts w:ascii="Arial" w:hAnsi="Arial" w:cs="Arial"/>
          <w:color w:val="auto"/>
        </w:rPr>
        <w:t>Movilog</w:t>
      </w:r>
      <w:proofErr w:type="spellEnd"/>
      <w:r w:rsidRPr="00AE1FAE">
        <w:rPr>
          <w:rFonts w:ascii="Arial" w:hAnsi="Arial" w:cs="Arial"/>
          <w:color w:val="auto"/>
        </w:rPr>
        <w:t xml:space="preserve"> BM22 met de DAQ.</w:t>
      </w:r>
    </w:p>
    <w:p w14:paraId="0F0E7137" w14:textId="64AB6EF1" w:rsidR="006D0500" w:rsidRPr="00AE1FAE" w:rsidRDefault="006D0500" w:rsidP="006D0500">
      <w:pPr>
        <w:pStyle w:val="Bijschrift"/>
        <w:rPr>
          <w:rFonts w:ascii="Arial" w:hAnsi="Arial" w:cs="Arial"/>
          <w:color w:val="auto"/>
        </w:rPr>
      </w:pPr>
      <w:r w:rsidRPr="00AE1FAE">
        <w:rPr>
          <w:rFonts w:ascii="Arial" w:hAnsi="Arial" w:cs="Arial"/>
          <w:color w:val="auto"/>
        </w:rPr>
        <w:t>*Worden niet meer geproduceerd</w:t>
      </w:r>
      <w:r>
        <w:rPr>
          <w:rFonts w:ascii="Arial" w:hAnsi="Arial" w:cs="Arial"/>
          <w:color w:val="auto"/>
        </w:rPr>
        <w:t xml:space="preserve"> en de bedragen betreffen de bedragen die destijds werden betaald per stuk, inclusief onderhoud voor 6 jaar</w:t>
      </w:r>
      <w:r w:rsidRPr="00AE1FAE">
        <w:rPr>
          <w:rFonts w:ascii="Arial" w:hAnsi="Arial" w:cs="Arial"/>
          <w:color w:val="auto"/>
        </w:rPr>
        <w:t>.</w:t>
      </w:r>
    </w:p>
    <w:p w14:paraId="47FFD532" w14:textId="77777777" w:rsidR="006D0500" w:rsidRPr="00F350A8" w:rsidRDefault="006D0500" w:rsidP="006D0500">
      <w:pPr>
        <w:pStyle w:val="Geenafstand"/>
        <w:rPr>
          <w:rFonts w:ascii="Arial" w:hAnsi="Arial" w:cs="Arial"/>
          <w:b/>
          <w:bCs/>
        </w:rPr>
      </w:pPr>
    </w:p>
    <w:p w14:paraId="2A258B17" w14:textId="361BE434" w:rsidR="007D2CC5" w:rsidRDefault="007D2CC5"/>
    <w:sectPr w:rsidR="007D2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00"/>
    <w:rsid w:val="001409F9"/>
    <w:rsid w:val="001B73D2"/>
    <w:rsid w:val="00287975"/>
    <w:rsid w:val="00484267"/>
    <w:rsid w:val="006D0500"/>
    <w:rsid w:val="007370AE"/>
    <w:rsid w:val="007D2CC5"/>
    <w:rsid w:val="00892A9C"/>
    <w:rsid w:val="00A70549"/>
    <w:rsid w:val="00AE1191"/>
    <w:rsid w:val="00B628EB"/>
    <w:rsid w:val="00C11341"/>
    <w:rsid w:val="00C60BD7"/>
    <w:rsid w:val="00CE6A31"/>
    <w:rsid w:val="00E15CD6"/>
    <w:rsid w:val="00F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312D"/>
  <w15:chartTrackingRefBased/>
  <w15:docId w15:val="{8DBE003B-48DF-4D10-8FB1-D24B501A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0500"/>
  </w:style>
  <w:style w:type="paragraph" w:styleId="Kop1">
    <w:name w:val="heading 1"/>
    <w:basedOn w:val="Standaard"/>
    <w:next w:val="Standaard"/>
    <w:link w:val="Kop1Char"/>
    <w:uiPriority w:val="9"/>
    <w:qFormat/>
    <w:rsid w:val="006D0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D0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D0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D0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D0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D0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D0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D0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D0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0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D0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D0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D050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D050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D050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D050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D050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D05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D0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D0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D0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D0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D0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D050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D050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D050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D0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D050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D0500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6D0500"/>
    <w:pPr>
      <w:spacing w:after="0" w:line="240" w:lineRule="auto"/>
    </w:pPr>
  </w:style>
  <w:style w:type="paragraph" w:styleId="Bijschrift">
    <w:name w:val="caption"/>
    <w:basedOn w:val="Standaard"/>
    <w:next w:val="Standaard"/>
    <w:uiPriority w:val="35"/>
    <w:unhideWhenUsed/>
    <w:qFormat/>
    <w:rsid w:val="006D050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Riel (student)</dc:creator>
  <cp:keywords/>
  <dc:description/>
  <cp:lastModifiedBy>Maarten van Riel (student)</cp:lastModifiedBy>
  <cp:revision>1</cp:revision>
  <dcterms:created xsi:type="dcterms:W3CDTF">2025-03-06T14:42:00Z</dcterms:created>
  <dcterms:modified xsi:type="dcterms:W3CDTF">2025-03-06T14:44:00Z</dcterms:modified>
</cp:coreProperties>
</file>