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Vay Reports Navigation Implementation Brief</w:t>
      </w:r>
    </w:p>
    <w:p>
      <w:pPr>
        <w:pStyle w:val="Subtitle"/>
      </w:pPr>
      <w:r>
        <w:t>Menu structure and complete feature coverage</w:t>
      </w:r>
    </w:p>
    <w:p>
      <w:r>
        <w:t>8 October 2026  |  Product and engineering</w:t>
      </w:r>
    </w:p>
    <w:p>
      <w:r>
        <w:t>Reorganize Vay Reports around business workflows so users can find sales, customer, finance, inventory, reporting, and data tools in predictable places. The proposed menu covers every current sidebar destination. The implementation must also preserve the embedded workflows listed in this brief, with the same permissions and data basis.</w:t>
      </w:r>
    </w:p>
    <w:p>
      <w:r>
        <w:t>This brief defines the proposed menu, secondary tabs, legacy route mappings, implementation tasks, and acceptance criteria. It is a specification for a future implementation. File library access and backup controls are optional additions identified separately at the end.</w:t>
      </w:r>
    </w:p>
    <w:p>
      <w:pPr>
        <w:pStyle w:val="Heading2"/>
      </w:pPr>
      <w:r>
        <w:t>Proposed primary menu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728"/>
        <w:gridCol w:w="8496"/>
      </w:tblGrid>
      <w:tr>
        <w:trPr>
          <w:cantSplit/>
          <w:tblHeader/>
        </w:trPr>
        <w:tc>
          <w:tcPr>
            <w:tcW w:type="dxa" w:w="1728"/>
            <w:vAlign w:val="center"/>
            <w:shd w:fill="363636"/>
          </w:tcPr>
          <w:p>
            <w:pPr>
              <w:spacing w:after="0" w:before="0" w:line="250" w:lineRule="auto"/>
            </w:pPr>
            <w:r>
              <w:rPr>
                <w:rFonts w:ascii="Arial" w:hAnsi="Arial"/>
                <w:b/>
                <w:color w:val="FFFFFF"/>
                <w:sz w:val="20"/>
              </w:rPr>
              <w:t>Group</w:t>
            </w:r>
          </w:p>
        </w:tc>
        <w:tc>
          <w:tcPr>
            <w:tcW w:type="dxa" w:w="8496"/>
            <w:vAlign w:val="center"/>
            <w:shd w:fill="363636"/>
          </w:tcPr>
          <w:p>
            <w:pPr>
              <w:spacing w:after="0" w:before="0" w:line="250" w:lineRule="auto"/>
            </w:pPr>
            <w:r>
              <w:rPr>
                <w:rFonts w:ascii="Arial" w:hAnsi="Arial"/>
                <w:b/>
                <w:color w:val="FFFFFF"/>
                <w:sz w:val="20"/>
              </w:rPr>
              <w:t>Destinations</w:t>
            </w:r>
          </w:p>
        </w:tc>
      </w:tr>
      <w:tr>
        <w:trPr>
          <w:cantSplit/>
        </w:trPr>
        <w:tc>
          <w:tcPr>
            <w:tcW w:type="dxa" w:w="1728"/>
            <w:vAlign w:val="center"/>
            <w:shd w:fill="FFFFFF"/>
          </w:tcPr>
          <w:p>
            <w:pPr>
              <w:spacing w:after="0" w:before="0" w:line="250" w:lineRule="auto"/>
            </w:pPr>
            <w:r>
              <w:rPr>
                <w:rFonts w:ascii="Arial" w:hAnsi="Arial"/>
                <w:sz w:val="20"/>
              </w:rPr>
              <w:t>Overview</w:t>
            </w:r>
          </w:p>
        </w:tc>
        <w:tc>
          <w:tcPr>
            <w:tcW w:type="dxa" w:w="8496"/>
            <w:vAlign w:val="center"/>
            <w:shd w:fill="FFFFFF"/>
          </w:tcPr>
          <w:p>
            <w:pPr>
              <w:spacing w:after="0" w:before="0" w:line="250" w:lineRule="auto"/>
            </w:pPr>
            <w:r>
              <w:rPr>
                <w:rFonts w:ascii="Arial" w:hAnsi="Arial"/>
                <w:sz w:val="20"/>
              </w:rPr>
              <w:t>Dashboard; Today's work; Business overview; Scorecard; Weekly review</w:t>
            </w:r>
          </w:p>
        </w:tc>
      </w:tr>
      <w:tr>
        <w:trPr>
          <w:cantSplit/>
        </w:trPr>
        <w:tc>
          <w:tcPr>
            <w:tcW w:type="dxa" w:w="1728"/>
            <w:vAlign w:val="center"/>
            <w:shd w:fill="F4F4F4"/>
          </w:tcPr>
          <w:p>
            <w:pPr>
              <w:spacing w:after="0" w:before="0" w:line="250" w:lineRule="auto"/>
            </w:pPr>
            <w:r>
              <w:rPr>
                <w:rFonts w:ascii="Arial" w:hAnsi="Arial"/>
                <w:sz w:val="20"/>
              </w:rPr>
              <w:t>Sales</w:t>
            </w:r>
          </w:p>
        </w:tc>
        <w:tc>
          <w:tcPr>
            <w:tcW w:type="dxa" w:w="8496"/>
            <w:vAlign w:val="center"/>
            <w:shd w:fill="F4F4F4"/>
          </w:tcPr>
          <w:p>
            <w:pPr>
              <w:spacing w:after="0" w:before="0" w:line="250" w:lineRule="auto"/>
            </w:pPr>
            <w:r>
              <w:rPr>
                <w:rFonts w:ascii="Arial" w:hAnsi="Arial"/>
                <w:sz w:val="20"/>
              </w:rPr>
              <w:t>Invoices; Returns and credit notes; Item-wise sales; Sales reps; Sales change</w:t>
            </w:r>
          </w:p>
        </w:tc>
      </w:tr>
      <w:tr>
        <w:trPr>
          <w:cantSplit/>
        </w:trPr>
        <w:tc>
          <w:tcPr>
            <w:tcW w:type="dxa" w:w="1728"/>
            <w:vAlign w:val="center"/>
            <w:shd w:fill="FFFFFF"/>
          </w:tcPr>
          <w:p>
            <w:pPr>
              <w:spacing w:after="0" w:before="0" w:line="250" w:lineRule="auto"/>
            </w:pPr>
            <w:r>
              <w:rPr>
                <w:rFonts w:ascii="Arial" w:hAnsi="Arial"/>
                <w:sz w:val="20"/>
              </w:rPr>
              <w:t>Customers</w:t>
            </w:r>
          </w:p>
        </w:tc>
        <w:tc>
          <w:tcPr>
            <w:tcW w:type="dxa" w:w="8496"/>
            <w:vAlign w:val="center"/>
            <w:shd w:fill="FFFFFF"/>
          </w:tcPr>
          <w:p>
            <w:pPr>
              <w:spacing w:after="0" w:before="0" w:line="250" w:lineRule="auto"/>
            </w:pPr>
            <w:r>
              <w:rPr>
                <w:rFonts w:ascii="Arial" w:hAnsi="Arial"/>
                <w:sz w:val="20"/>
              </w:rPr>
              <w:t>Customers; Customer groups; Customer movement</w:t>
            </w:r>
          </w:p>
        </w:tc>
      </w:tr>
      <w:tr>
        <w:trPr>
          <w:cantSplit/>
        </w:trPr>
        <w:tc>
          <w:tcPr>
            <w:tcW w:type="dxa" w:w="1728"/>
            <w:vAlign w:val="center"/>
            <w:shd w:fill="F4F4F4"/>
          </w:tcPr>
          <w:p>
            <w:pPr>
              <w:spacing w:after="0" w:before="0" w:line="250" w:lineRule="auto"/>
            </w:pPr>
            <w:r>
              <w:rPr>
                <w:rFonts w:ascii="Arial" w:hAnsi="Arial"/>
                <w:sz w:val="20"/>
              </w:rPr>
              <w:t>Finance</w:t>
            </w:r>
          </w:p>
        </w:tc>
        <w:tc>
          <w:tcPr>
            <w:tcW w:type="dxa" w:w="8496"/>
            <w:vAlign w:val="center"/>
            <w:shd w:fill="F4F4F4"/>
          </w:tcPr>
          <w:p>
            <w:pPr>
              <w:spacing w:after="0" w:before="0" w:line="250" w:lineRule="auto"/>
            </w:pPr>
            <w:r>
              <w:rPr>
                <w:rFonts w:ascii="Arial" w:hAnsi="Arial"/>
                <w:sz w:val="20"/>
              </w:rPr>
              <w:t>Collection worklist; Outstanding; Receipts; Payments; Cash; Parties</w:t>
            </w:r>
          </w:p>
        </w:tc>
      </w:tr>
      <w:tr>
        <w:trPr>
          <w:cantSplit/>
        </w:trPr>
        <w:tc>
          <w:tcPr>
            <w:tcW w:type="dxa" w:w="1728"/>
            <w:vAlign w:val="center"/>
            <w:shd w:fill="FFFFFF"/>
          </w:tcPr>
          <w:p>
            <w:pPr>
              <w:spacing w:after="0" w:before="0" w:line="250" w:lineRule="auto"/>
            </w:pPr>
            <w:r>
              <w:rPr>
                <w:rFonts w:ascii="Arial" w:hAnsi="Arial"/>
                <w:sz w:val="20"/>
              </w:rPr>
              <w:t>Inventory</w:t>
            </w:r>
          </w:p>
        </w:tc>
        <w:tc>
          <w:tcPr>
            <w:tcW w:type="dxa" w:w="8496"/>
            <w:vAlign w:val="center"/>
            <w:shd w:fill="FFFFFF"/>
          </w:tcPr>
          <w:p>
            <w:pPr>
              <w:spacing w:after="0" w:before="0" w:line="250" w:lineRule="auto"/>
            </w:pPr>
            <w:r>
              <w:rPr>
                <w:rFonts w:ascii="Arial" w:hAnsi="Arial"/>
                <w:sz w:val="20"/>
              </w:rPr>
              <w:t>Stock; Item profiles; Categories; Item groups; Brands; Suppliers; Stock decisions; Reorder</w:t>
            </w:r>
          </w:p>
        </w:tc>
      </w:tr>
      <w:tr>
        <w:trPr>
          <w:cantSplit/>
        </w:trPr>
        <w:tc>
          <w:tcPr>
            <w:tcW w:type="dxa" w:w="1728"/>
            <w:vAlign w:val="center"/>
            <w:shd w:fill="F4F4F4"/>
          </w:tcPr>
          <w:p>
            <w:pPr>
              <w:spacing w:after="0" w:before="0" w:line="250" w:lineRule="auto"/>
            </w:pPr>
            <w:r>
              <w:rPr>
                <w:rFonts w:ascii="Arial" w:hAnsi="Arial"/>
                <w:sz w:val="20"/>
              </w:rPr>
              <w:t>Reports</w:t>
            </w:r>
          </w:p>
        </w:tc>
        <w:tc>
          <w:tcPr>
            <w:tcW w:type="dxa" w:w="8496"/>
            <w:vAlign w:val="center"/>
            <w:shd w:fill="F4F4F4"/>
          </w:tcPr>
          <w:p>
            <w:pPr>
              <w:spacing w:after="0" w:before="0" w:line="250" w:lineRule="auto"/>
            </w:pPr>
            <w:r>
              <w:rPr>
                <w:rFonts w:ascii="Arial" w:hAnsi="Arial"/>
                <w:sz w:val="20"/>
              </w:rPr>
              <w:t>Create reports; Report library; Report builder; PDF exports; Excel exports</w:t>
            </w:r>
          </w:p>
        </w:tc>
      </w:tr>
      <w:tr>
        <w:trPr>
          <w:cantSplit/>
        </w:trPr>
        <w:tc>
          <w:tcPr>
            <w:tcW w:type="dxa" w:w="1728"/>
            <w:vAlign w:val="center"/>
            <w:shd w:fill="FFFFFF"/>
          </w:tcPr>
          <w:p>
            <w:pPr>
              <w:spacing w:after="0" w:before="0" w:line="250" w:lineRule="auto"/>
            </w:pPr>
            <w:r>
              <w:rPr>
                <w:rFonts w:ascii="Arial" w:hAnsi="Arial"/>
                <w:sz w:val="20"/>
              </w:rPr>
              <w:t>Data</w:t>
            </w:r>
          </w:p>
        </w:tc>
        <w:tc>
          <w:tcPr>
            <w:tcW w:type="dxa" w:w="8496"/>
            <w:vAlign w:val="center"/>
            <w:shd w:fill="FFFFFF"/>
          </w:tcPr>
          <w:p>
            <w:pPr>
              <w:spacing w:after="0" w:before="0" w:line="250" w:lineRule="auto"/>
            </w:pPr>
            <w:r>
              <w:rPr>
                <w:rFonts w:ascii="Arial" w:hAnsi="Arial"/>
                <w:sz w:val="20"/>
              </w:rPr>
              <w:t>Import; Explore; Data quality; Data issue reports</w:t>
            </w:r>
          </w:p>
        </w:tc>
      </w:tr>
      <w:tr>
        <w:trPr>
          <w:cantSplit/>
        </w:trPr>
        <w:tc>
          <w:tcPr>
            <w:tcW w:type="dxa" w:w="1728"/>
            <w:vAlign w:val="center"/>
            <w:shd w:fill="F4F4F4"/>
          </w:tcPr>
          <w:p>
            <w:pPr>
              <w:spacing w:after="0" w:before="0" w:line="250" w:lineRule="auto"/>
            </w:pPr>
            <w:r>
              <w:rPr>
                <w:rFonts w:ascii="Arial" w:hAnsi="Arial"/>
                <w:sz w:val="20"/>
              </w:rPr>
              <w:t>Settings</w:t>
            </w:r>
          </w:p>
        </w:tc>
        <w:tc>
          <w:tcPr>
            <w:tcW w:type="dxa" w:w="8496"/>
            <w:vAlign w:val="center"/>
            <w:shd w:fill="F4F4F4"/>
          </w:tcPr>
          <w:p>
            <w:pPr>
              <w:spacing w:after="0" w:before="0" w:line="250" w:lineRule="auto"/>
            </w:pPr>
            <w:r>
              <w:rPr>
                <w:rFonts w:ascii="Arial" w:hAnsi="Arial"/>
                <w:sz w:val="20"/>
              </w:rPr>
              <w:t>Organization; Business rules; Users and roles; System and support</w:t>
            </w:r>
          </w:p>
        </w:tc>
      </w:tr>
    </w:tbl>
    <w:p>
      <w:pPr>
        <w:spacing w:after="40" w:before="0" w:line="120" w:lineRule="auto"/>
      </w:pPr>
      <w:r>
        <w:rPr>
          <w:sz w:val="6"/>
        </w:rPr>
      </w:r>
    </w:p>
    <w:p>
      <w:r>
        <w:t>Primary group headings expand or collapse their children. Clicking a heading must leave the current page and selected report snapshot in place. Clicking a destination navigates to its page and opens its group.</w:t>
      </w:r>
    </w:p>
    <w:p>
      <w:r>
        <w:rPr>
          <w:color w:val="464646"/>
          <w:sz w:val="18"/>
        </w:rPr>
        <w:t>Code references: web/src/theme.js:104; web/src/App.jsx:267, 303</w:t>
      </w:r>
    </w:p>
    <w:p>
      <w:r>
        <w:br w:type="page"/>
      </w:r>
    </w:p>
    <w:p>
      <w:pPr>
        <w:pStyle w:val="Heading1"/>
      </w:pPr>
      <w:r>
        <w:t>Secondary navigation and access rules</w:t>
      </w:r>
    </w:p>
    <w:p>
      <w:pPr>
        <w:pStyle w:val="Heading2"/>
      </w:pPr>
      <w:r>
        <w:t>Settings tabs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92"/>
        <w:gridCol w:w="7632"/>
      </w:tblGrid>
      <w:tr>
        <w:trPr>
          <w:cantSplit/>
          <w:tblHeader/>
        </w:trPr>
        <w:tc>
          <w:tcPr>
            <w:tcW w:type="dxa" w:w="2592"/>
            <w:vAlign w:val="center"/>
            <w:shd w:fill="363636"/>
          </w:tcPr>
          <w:p>
            <w:pPr>
              <w:spacing w:after="0" w:before="0" w:line="250" w:lineRule="auto"/>
            </w:pPr>
            <w:r>
              <w:rPr>
                <w:rFonts w:ascii="Arial" w:hAnsi="Arial"/>
                <w:b/>
                <w:color w:val="FFFFFF"/>
                <w:sz w:val="20"/>
              </w:rPr>
              <w:t>Settings page</w:t>
            </w:r>
          </w:p>
        </w:tc>
        <w:tc>
          <w:tcPr>
            <w:tcW w:type="dxa" w:w="7632"/>
            <w:vAlign w:val="center"/>
            <w:shd w:fill="363636"/>
          </w:tcPr>
          <w:p>
            <w:pPr>
              <w:spacing w:after="0" w:before="0" w:line="250" w:lineRule="auto"/>
            </w:pPr>
            <w:r>
              <w:rPr>
                <w:rFonts w:ascii="Arial" w:hAnsi="Arial"/>
                <w:b/>
                <w:color w:val="FFFFFF"/>
                <w:sz w:val="20"/>
              </w:rPr>
              <w:t>Secondary tabs</w:t>
            </w:r>
          </w:p>
        </w:tc>
      </w:tr>
      <w:tr>
        <w:trPr>
          <w:cantSplit/>
        </w:trPr>
        <w:tc>
          <w:tcPr>
            <w:tcW w:type="dxa" w:w="2592"/>
            <w:vAlign w:val="center"/>
            <w:shd w:fill="FFFFFF"/>
          </w:tcPr>
          <w:p>
            <w:pPr>
              <w:spacing w:after="0" w:before="0" w:line="250" w:lineRule="auto"/>
            </w:pPr>
            <w:r>
              <w:rPr>
                <w:rFonts w:ascii="Arial" w:hAnsi="Arial"/>
                <w:sz w:val="20"/>
              </w:rPr>
              <w:t>Organization</w:t>
            </w:r>
          </w:p>
        </w:tc>
        <w:tc>
          <w:tcPr>
            <w:tcW w:type="dxa" w:w="7632"/>
            <w:vAlign w:val="center"/>
            <w:shd w:fill="FFFFFF"/>
          </w:tcPr>
          <w:p>
            <w:pPr>
              <w:spacing w:after="0" w:before="0" w:line="250" w:lineRule="auto"/>
            </w:pPr>
            <w:r>
              <w:rPr>
                <w:rFonts w:ascii="Arial" w:hAnsi="Arial"/>
                <w:sz w:val="20"/>
              </w:rPr>
              <w:t>Organization; Account migrations and name review; Party types</w:t>
            </w:r>
          </w:p>
        </w:tc>
      </w:tr>
      <w:tr>
        <w:trPr>
          <w:cantSplit/>
        </w:trPr>
        <w:tc>
          <w:tcPr>
            <w:tcW w:type="dxa" w:w="2592"/>
            <w:vAlign w:val="center"/>
            <w:shd w:fill="F4F4F4"/>
          </w:tcPr>
          <w:p>
            <w:pPr>
              <w:spacing w:after="0" w:before="0" w:line="250" w:lineRule="auto"/>
            </w:pPr>
            <w:r>
              <w:rPr>
                <w:rFonts w:ascii="Arial" w:hAnsi="Arial"/>
                <w:sz w:val="20"/>
              </w:rPr>
              <w:t>Business rules</w:t>
            </w:r>
          </w:p>
        </w:tc>
        <w:tc>
          <w:tcPr>
            <w:tcW w:type="dxa" w:w="7632"/>
            <w:vAlign w:val="center"/>
            <w:shd w:fill="F4F4F4"/>
          </w:tcPr>
          <w:p>
            <w:pPr>
              <w:spacing w:after="0" w:before="0" w:line="250" w:lineRule="auto"/>
            </w:pPr>
            <w:r>
              <w:rPr>
                <w:rFonts w:ascii="Arial" w:hAnsi="Arial"/>
                <w:sz w:val="20"/>
              </w:rPr>
              <w:t>Settlement; Due days; Order check</w:t>
            </w:r>
          </w:p>
        </w:tc>
      </w:tr>
      <w:tr>
        <w:trPr>
          <w:cantSplit/>
        </w:trPr>
        <w:tc>
          <w:tcPr>
            <w:tcW w:type="dxa" w:w="2592"/>
            <w:vAlign w:val="center"/>
            <w:shd w:fill="FFFFFF"/>
          </w:tcPr>
          <w:p>
            <w:pPr>
              <w:spacing w:after="0" w:before="0" w:line="250" w:lineRule="auto"/>
            </w:pPr>
            <w:r>
              <w:rPr>
                <w:rFonts w:ascii="Arial" w:hAnsi="Arial"/>
                <w:sz w:val="20"/>
              </w:rPr>
              <w:t>Users and roles</w:t>
            </w:r>
          </w:p>
        </w:tc>
        <w:tc>
          <w:tcPr>
            <w:tcW w:type="dxa" w:w="7632"/>
            <w:vAlign w:val="center"/>
            <w:shd w:fill="FFFFFF"/>
          </w:tcPr>
          <w:p>
            <w:pPr>
              <w:spacing w:after="0" w:before="0" w:line="250" w:lineRule="auto"/>
            </w:pPr>
            <w:r>
              <w:rPr>
                <w:rFonts w:ascii="Arial" w:hAnsi="Arial"/>
                <w:sz w:val="20"/>
              </w:rPr>
              <w:t>Users; Roles</w:t>
            </w:r>
          </w:p>
        </w:tc>
      </w:tr>
      <w:tr>
        <w:trPr>
          <w:cantSplit/>
        </w:trPr>
        <w:tc>
          <w:tcPr>
            <w:tcW w:type="dxa" w:w="2592"/>
            <w:vAlign w:val="center"/>
            <w:shd w:fill="F4F4F4"/>
          </w:tcPr>
          <w:p>
            <w:pPr>
              <w:spacing w:after="0" w:before="0" w:line="250" w:lineRule="auto"/>
            </w:pPr>
            <w:r>
              <w:rPr>
                <w:rFonts w:ascii="Arial" w:hAnsi="Arial"/>
                <w:sz w:val="20"/>
              </w:rPr>
              <w:t>System and support</w:t>
            </w:r>
          </w:p>
        </w:tc>
        <w:tc>
          <w:tcPr>
            <w:tcW w:type="dxa" w:w="7632"/>
            <w:vAlign w:val="center"/>
            <w:shd w:fill="F4F4F4"/>
          </w:tcPr>
          <w:p>
            <w:pPr>
              <w:spacing w:after="0" w:before="0" w:line="250" w:lineRule="auto"/>
            </w:pPr>
            <w:r>
              <w:rPr>
                <w:rFonts w:ascii="Arial" w:hAnsi="Arial"/>
                <w:sz w:val="20"/>
              </w:rPr>
              <w:t>Network; Plan and support; Audit; Advanced</w:t>
            </w:r>
          </w:p>
        </w:tc>
      </w:tr>
    </w:tbl>
    <w:p>
      <w:pPr>
        <w:spacing w:after="40" w:before="0" w:line="120" w:lineRule="auto"/>
      </w:pPr>
      <w:r>
        <w:rPr>
          <w:sz w:val="6"/>
        </w:rPr>
      </w:r>
    </w:p>
    <w:p>
      <w:r>
        <w:t>Keep AccountNamesSection and NameReviewSection together within the Account migrations tab. Filter each tab independently. Network uses the authenticated-user permission; the other System and support tabs use settings.advanced. Users and Roles use their existing view-or-manage checks. A group is visible when at least one child tab is permitted.</w:t>
      </w:r>
    </w:p>
    <w:p>
      <w:pPr>
        <w:pStyle w:val="Heading2"/>
      </w:pPr>
      <w:r>
        <w:t>Report library tabs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016"/>
        <w:gridCol w:w="8208"/>
      </w:tblGrid>
      <w:tr>
        <w:trPr>
          <w:cantSplit/>
          <w:tblHeader/>
        </w:trPr>
        <w:tc>
          <w:tcPr>
            <w:tcW w:type="dxa" w:w="2016"/>
            <w:vAlign w:val="center"/>
            <w:shd w:fill="363636"/>
          </w:tcPr>
          <w:p>
            <w:pPr>
              <w:spacing w:after="0" w:before="0" w:line="250" w:lineRule="auto"/>
            </w:pPr>
            <w:r>
              <w:rPr>
                <w:rFonts w:ascii="Arial" w:hAnsi="Arial"/>
                <w:b/>
                <w:color w:val="FFFFFF"/>
                <w:sz w:val="20"/>
              </w:rPr>
              <w:t>Tab</w:t>
            </w:r>
          </w:p>
        </w:tc>
        <w:tc>
          <w:tcPr>
            <w:tcW w:type="dxa" w:w="8208"/>
            <w:vAlign w:val="center"/>
            <w:shd w:fill="363636"/>
          </w:tcPr>
          <w:p>
            <w:pPr>
              <w:spacing w:after="0" w:before="0" w:line="250" w:lineRule="auto"/>
            </w:pPr>
            <w:r>
              <w:rPr>
                <w:rFonts w:ascii="Arial" w:hAnsi="Arial"/>
                <w:b/>
                <w:color w:val="FFFFFF"/>
                <w:sz w:val="20"/>
              </w:rPr>
              <w:t>Existing permission</w:t>
            </w:r>
          </w:p>
        </w:tc>
      </w:tr>
      <w:tr>
        <w:trPr>
          <w:cantSplit/>
        </w:trPr>
        <w:tc>
          <w:tcPr>
            <w:tcW w:type="dxa" w:w="2016"/>
            <w:vAlign w:val="center"/>
            <w:shd w:fill="FFFFFF"/>
          </w:tcPr>
          <w:p>
            <w:pPr>
              <w:spacing w:after="0" w:before="0" w:line="250" w:lineRule="auto"/>
            </w:pPr>
            <w:r>
              <w:rPr>
                <w:rFonts w:ascii="Arial" w:hAnsi="Arial"/>
                <w:sz w:val="20"/>
              </w:rPr>
              <w:t>Performance</w:t>
            </w:r>
          </w:p>
        </w:tc>
        <w:tc>
          <w:tcPr>
            <w:tcW w:type="dxa" w:w="8208"/>
            <w:vAlign w:val="center"/>
            <w:shd w:fill="FFFFFF"/>
          </w:tcPr>
          <w:p>
            <w:pPr>
              <w:spacing w:after="0" w:before="0" w:line="250" w:lineRule="auto"/>
            </w:pPr>
            <w:r>
              <w:rPr>
                <w:rFonts w:ascii="Arial" w:hAnsi="Arial"/>
                <w:sz w:val="20"/>
              </w:rPr>
              <w:t>reports.view.performance</w:t>
            </w:r>
          </w:p>
        </w:tc>
      </w:tr>
      <w:tr>
        <w:trPr>
          <w:cantSplit/>
        </w:trPr>
        <w:tc>
          <w:tcPr>
            <w:tcW w:type="dxa" w:w="2016"/>
            <w:vAlign w:val="center"/>
            <w:shd w:fill="F4F4F4"/>
          </w:tcPr>
          <w:p>
            <w:pPr>
              <w:spacing w:after="0" w:before="0" w:line="250" w:lineRule="auto"/>
            </w:pPr>
            <w:r>
              <w:rPr>
                <w:rFonts w:ascii="Arial" w:hAnsi="Arial"/>
                <w:sz w:val="20"/>
              </w:rPr>
              <w:t>Follow-up</w:t>
            </w:r>
          </w:p>
        </w:tc>
        <w:tc>
          <w:tcPr>
            <w:tcW w:type="dxa" w:w="8208"/>
            <w:vAlign w:val="center"/>
            <w:shd w:fill="F4F4F4"/>
          </w:tcPr>
          <w:p>
            <w:pPr>
              <w:spacing w:after="0" w:before="0" w:line="250" w:lineRule="auto"/>
            </w:pPr>
            <w:r>
              <w:rPr>
                <w:rFonts w:ascii="Arial" w:hAnsi="Arial"/>
                <w:sz w:val="20"/>
              </w:rPr>
              <w:t>reports.view.followup</w:t>
            </w:r>
          </w:p>
        </w:tc>
      </w:tr>
      <w:tr>
        <w:trPr>
          <w:cantSplit/>
        </w:trPr>
        <w:tc>
          <w:tcPr>
            <w:tcW w:type="dxa" w:w="2016"/>
            <w:vAlign w:val="center"/>
            <w:shd w:fill="FFFFFF"/>
          </w:tcPr>
          <w:p>
            <w:pPr>
              <w:spacing w:after="0" w:before="0" w:line="250" w:lineRule="auto"/>
            </w:pPr>
            <w:r>
              <w:rPr>
                <w:rFonts w:ascii="Arial" w:hAnsi="Arial"/>
                <w:sz w:val="20"/>
              </w:rPr>
              <w:t>Monthly</w:t>
            </w:r>
          </w:p>
        </w:tc>
        <w:tc>
          <w:tcPr>
            <w:tcW w:type="dxa" w:w="8208"/>
            <w:vAlign w:val="center"/>
            <w:shd w:fill="FFFFFF"/>
          </w:tcPr>
          <w:p>
            <w:pPr>
              <w:spacing w:after="0" w:before="0" w:line="250" w:lineRule="auto"/>
            </w:pPr>
            <w:r>
              <w:rPr>
                <w:rFonts w:ascii="Arial" w:hAnsi="Arial"/>
                <w:sz w:val="20"/>
              </w:rPr>
              <w:t>reports.view.monthly</w:t>
            </w:r>
          </w:p>
        </w:tc>
      </w:tr>
      <w:tr>
        <w:trPr>
          <w:cantSplit/>
        </w:trPr>
        <w:tc>
          <w:tcPr>
            <w:tcW w:type="dxa" w:w="2016"/>
            <w:vAlign w:val="center"/>
            <w:shd w:fill="F4F4F4"/>
          </w:tcPr>
          <w:p>
            <w:pPr>
              <w:spacing w:after="0" w:before="0" w:line="250" w:lineRule="auto"/>
            </w:pPr>
            <w:r>
              <w:rPr>
                <w:rFonts w:ascii="Arial" w:hAnsi="Arial"/>
                <w:sz w:val="20"/>
              </w:rPr>
              <w:t>Items</w:t>
            </w:r>
          </w:p>
        </w:tc>
        <w:tc>
          <w:tcPr>
            <w:tcW w:type="dxa" w:w="8208"/>
            <w:vAlign w:val="center"/>
            <w:shd w:fill="F4F4F4"/>
          </w:tcPr>
          <w:p>
            <w:pPr>
              <w:spacing w:after="0" w:before="0" w:line="250" w:lineRule="auto"/>
            </w:pPr>
            <w:r>
              <w:rPr>
                <w:rFonts w:ascii="Arial" w:hAnsi="Arial"/>
                <w:sz w:val="20"/>
              </w:rPr>
              <w:t>reports.view.items</w:t>
            </w:r>
          </w:p>
        </w:tc>
      </w:tr>
      <w:tr>
        <w:trPr>
          <w:cantSplit/>
        </w:trPr>
        <w:tc>
          <w:tcPr>
            <w:tcW w:type="dxa" w:w="2016"/>
            <w:vAlign w:val="center"/>
            <w:shd w:fill="FFFFFF"/>
          </w:tcPr>
          <w:p>
            <w:pPr>
              <w:spacing w:after="0" w:before="0" w:line="250" w:lineRule="auto"/>
            </w:pPr>
            <w:r>
              <w:rPr>
                <w:rFonts w:ascii="Arial" w:hAnsi="Arial"/>
                <w:sz w:val="20"/>
              </w:rPr>
              <w:t>Profit</w:t>
            </w:r>
          </w:p>
        </w:tc>
        <w:tc>
          <w:tcPr>
            <w:tcW w:type="dxa" w:w="8208"/>
            <w:vAlign w:val="center"/>
            <w:shd w:fill="FFFFFF"/>
          </w:tcPr>
          <w:p>
            <w:pPr>
              <w:spacing w:after="0" w:before="0" w:line="250" w:lineRule="auto"/>
            </w:pPr>
            <w:r>
              <w:rPr>
                <w:rFonts w:ascii="Arial" w:hAnsi="Arial"/>
                <w:sz w:val="20"/>
              </w:rPr>
              <w:t>reports.view.profit</w:t>
            </w:r>
          </w:p>
        </w:tc>
      </w:tr>
    </w:tbl>
    <w:p>
      <w:pPr>
        <w:spacing w:after="40" w:before="0" w:line="120" w:lineRule="auto"/>
      </w:pPr>
      <w:r>
        <w:rPr>
          <w:sz w:val="6"/>
        </w:rPr>
      </w:r>
    </w:p>
    <w:p>
      <w:r>
        <w:t>Filter family tabs by permission, and use the first permitted family as the default. Resolve a legacy family link to its exact tab. Preserve family availability, the special Profit eligibility check, Follow-up filters, manifest details, reconciliation, and source eligibility explanations.</w:t>
      </w:r>
    </w:p>
    <w:p>
      <w:pPr>
        <w:pStyle w:val="Heading2"/>
      </w:pPr>
      <w:r>
        <w:t>Permission and readiness requirements</w:t>
      </w:r>
    </w:p>
    <w:p>
      <w:pPr>
        <w:pStyle w:val="ListBullet"/>
      </w:pPr>
      <w:r>
        <w:rPr>
          <w:b/>
        </w:rPr>
        <w:t xml:space="preserve">Preserve permission identifiers. </w:t>
      </w:r>
      <w:r>
        <w:t>Menu placement must not change authorization. Business overview and Sales reps retain customer.view. Scorecard, Sales change, Customer movement, and Weekly review retain reports.view.scorecard.</w:t>
      </w:r>
    </w:p>
    <w:p>
      <w:pPr>
        <w:pStyle w:val="ListBullet"/>
      </w:pPr>
      <w:r>
        <w:rPr>
          <w:b/>
        </w:rPr>
        <w:t xml:space="preserve">Preserve operational access. </w:t>
      </w:r>
      <w:r>
        <w:t>Today and Collection worklist retain reports.view.followup. Stock decisions and Reorder retain reports.view.items. Editing actions requires actions.manage; report drafting and approval require reports.manage.</w:t>
      </w:r>
    </w:p>
    <w:p>
      <w:pPr>
        <w:pStyle w:val="ListBullet"/>
      </w:pPr>
      <w:r>
        <w:rPr>
          <w:b/>
        </w:rPr>
        <w:t xml:space="preserve">Keep data screens distinct. </w:t>
      </w:r>
      <w:r>
        <w:t>Data quality retains reports.view.quality. Data issue reports retain reports.view.issues and any existing report-specific access checks.</w:t>
      </w:r>
    </w:p>
    <w:p>
      <w:pPr>
        <w:pStyle w:val="ListBullet"/>
      </w:pPr>
      <w:r>
        <w:rPr>
          <w:b/>
        </w:rPr>
        <w:t xml:space="preserve">Use explicit readiness rules. </w:t>
      </w:r>
      <w:r>
        <w:t>Today remains usable before a report run succeeds. Preserve the readiness requirements of the other analytics pages. Library families use their own availability checks. PDF exports retain reports.create; Excel exports retain __excel__; Builder retains __builder__.</w:t>
      </w:r>
    </w:p>
    <w:p>
      <w:r>
        <w:rPr>
          <w:color w:val="464646"/>
          <w:sz w:val="18"/>
        </w:rPr>
        <w:t>Code references: web/src/theme.js:345; web/src/Settings.jsx:15; web/src/Reports.jsx:64; web/src/App.jsx:314</w:t>
      </w:r>
    </w:p>
    <w:p>
      <w:r>
        <w:br w:type="page"/>
      </w:r>
    </w:p>
    <w:p>
      <w:pPr>
        <w:pStyle w:val="Heading1"/>
      </w:pPr>
      <w:r>
        <w:t>Embedded features to preserve</w:t>
      </w:r>
    </w:p>
    <w:p>
      <w:r>
        <w:t>These workflows are already implemented inside the existing pages. Include them in implementation review and acceptance checks even when they do not receive a separate sidebar entry.</w:t>
      </w:r>
    </w:p>
    <w:p>
      <w:pPr>
        <w:pStyle w:val="ListBullet"/>
      </w:pPr>
      <w:r>
        <w:rPr>
          <w:b/>
        </w:rPr>
        <w:t xml:space="preserve">Customer collections. </w:t>
      </w:r>
      <w:r>
        <w:t>Keep contact records, invoice payment promises, receipt confirmation, due follow-ups, missed promises, history, and reminder drafts reachable from Customers, Collection worklist, and Today. Preserve statement previews and PDF and Excel downloads.</w:t>
      </w:r>
    </w:p>
    <w:p>
      <w:pPr>
        <w:pStyle w:val="ListBullet"/>
      </w:pPr>
      <w:r>
        <w:rPr>
          <w:b/>
        </w:rPr>
        <w:t xml:space="preserve">Customer group and rep profiles. </w:t>
      </w:r>
      <w:r>
        <w:t>Preserve due balances, settlement analysis, customer AR mismatches, sales and quantity histories, buying analysis, repurchase opportunities, ordering, order checks, activities, and links between customers, groups, reps, and invoices.</w:t>
      </w:r>
    </w:p>
    <w:p>
      <w:pPr>
        <w:pStyle w:val="ListBullet"/>
      </w:pPr>
      <w:r>
        <w:rPr>
          <w:b/>
        </w:rPr>
        <w:t xml:space="preserve">Item and dimension profiles. </w:t>
      </w:r>
      <w:r>
        <w:t>Preserve holding settings, lead times, discontinued status, stock risk filters, sales history, movement, buyer lists, repurchase analysis, and drill-downs through categories, item groups, brands, suppliers, and invoices.</w:t>
      </w:r>
    </w:p>
    <w:p>
      <w:pPr>
        <w:pStyle w:val="ListBullet"/>
      </w:pPr>
      <w:r>
        <w:rPr>
          <w:b/>
        </w:rPr>
        <w:t xml:space="preserve">Actions and results. </w:t>
      </w:r>
      <w:r>
        <w:t>Preserve assignment, owners, due dates, completion, suggested work, overdue counts, collection results, recovery evidence, and Weekly review downloads. Keep observed results and confirmed allocations labeled according to their existing evidence.</w:t>
      </w:r>
    </w:p>
    <w:p>
      <w:pPr>
        <w:pStyle w:val="ListBullet"/>
      </w:pPr>
      <w:r>
        <w:rPr>
          <w:b/>
        </w:rPr>
        <w:t xml:space="preserve">Reorder proposals. </w:t>
      </w:r>
      <w:r>
        <w:t>Preserve budgets, quantity overrides, priority ordering, pack sizes, minimums, supplier and lead-time inputs, uncosted and held lines, saving, assignment, and Excel downloads. Saved proposals must continue to be distinct from posted purchase orders.</w:t>
      </w:r>
    </w:p>
    <w:p>
      <w:pPr>
        <w:pStyle w:val="ListBullet"/>
      </w:pPr>
      <w:r>
        <w:rPr>
          <w:b/>
        </w:rPr>
        <w:t xml:space="preserve">Report builder. </w:t>
      </w:r>
      <w:r>
        <w:t>Keep templates, metric selection, preview, draft saving, approval, approved-figure queries, saved reports, and existing downloads. Preserve draft visibility and permission checks.</w:t>
      </w:r>
    </w:p>
    <w:p>
      <w:pPr>
        <w:pStyle w:val="ListBullet"/>
      </w:pPr>
      <w:r>
        <w:rPr>
          <w:b/>
        </w:rPr>
        <w:t xml:space="preserve">Analytics and finance. </w:t>
      </w:r>
      <w:r>
        <w:t>Keep Scorecard targets, prior-period and prior-year comparisons, forecasts, scenario factors, sales-change analysis, saved list filters, cash projections, pending confirmations, and uncosted commitments.</w:t>
      </w:r>
    </w:p>
    <w:p>
      <w:pPr>
        <w:pStyle w:val="ListBullet"/>
      </w:pPr>
      <w:r>
        <w:rPr>
          <w:b/>
        </w:rPr>
        <w:t xml:space="preserve">Imports and refresh. </w:t>
      </w:r>
      <w:r>
        <w:t>Keep mappings, confirmation, previews, duplicate policies, snapshots, control comparisons, reconciliation, and refresh status. Preserve all supported inputs: sales, item sales, outstanding, receipts, credit notes, payments, stock, parties, reservations, incoming stock, item cost, opening cash, and payables.</w:t>
      </w:r>
    </w:p>
    <w:p>
      <w:pPr>
        <w:pStyle w:val="ListBullet"/>
      </w:pPr>
      <w:r>
        <w:rPr>
          <w:b/>
        </w:rPr>
        <w:t xml:space="preserve">Settings and global controls. </w:t>
      </w:r>
      <w:r>
        <w:t>Keep name review, account migrations, organization thresholds and targets, pack settings, custom columns, terminology, due-day and settlement rules, users, roles, audit, diagnostics, advanced data controls, onboarding, sample company access, snapshot selection, progress, and authentication flows.</w:t>
      </w:r>
    </w:p>
    <w:p>
      <w:r>
        <w:rPr>
          <w:color w:val="464646"/>
          <w:sz w:val="18"/>
        </w:rPr>
        <w:t>Code references: web/src/Customers.jsx:518; web/src/Groups.jsx:228; web/src/Reps.jsx:230; web/src/Stock.jsx:227; web/src/Analytics.jsx:790, 921, 1135; web/src/Import.jsx:7; web/src/App.jsx:343</w:t>
      </w:r>
    </w:p>
    <w:p>
      <w:r>
        <w:br w:type="page"/>
      </w:r>
    </w:p>
    <w:p>
      <w:pPr>
        <w:pStyle w:val="Heading1"/>
      </w:pPr>
      <w:r>
        <w:t>Route mapping for overview sales and finance</w:t>
      </w:r>
    </w:p>
    <w:p>
      <w:r>
        <w:t>Routes below use the existing tab/sub convention. Each legacy route resolves to the proposed destination before rendering, breadcrumb generation, group expansion, and permission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4464"/>
        <w:gridCol w:w="5760"/>
      </w:tblGrid>
      <w:tr>
        <w:trPr>
          <w:cantSplit/>
          <w:tblHeader/>
        </w:trPr>
        <w:tc>
          <w:tcPr>
            <w:tcW w:type="dxa" w:w="4464"/>
            <w:vAlign w:val="center"/>
            <w:shd w:fill="363636"/>
          </w:tcPr>
          <w:p>
            <w:pPr>
              <w:spacing w:after="0" w:before="0" w:line="250" w:lineRule="auto"/>
            </w:pPr>
            <w:r>
              <w:rPr>
                <w:rFonts w:ascii="Arial" w:hAnsi="Arial"/>
                <w:b/>
                <w:color w:val="FFFFFF"/>
                <w:sz w:val="20"/>
              </w:rPr>
              <w:t>Current route</w:t>
            </w:r>
          </w:p>
        </w:tc>
        <w:tc>
          <w:tcPr>
            <w:tcW w:type="dxa" w:w="5760"/>
            <w:vAlign w:val="center"/>
            <w:shd w:fill="363636"/>
          </w:tcPr>
          <w:p>
            <w:pPr>
              <w:spacing w:after="0" w:before="0" w:line="250" w:lineRule="auto"/>
            </w:pPr>
            <w:r>
              <w:rPr>
                <w:rFonts w:ascii="Arial" w:hAnsi="Arial"/>
                <w:b/>
                <w:color w:val="FFFFFF"/>
                <w:sz w:val="20"/>
              </w:rPr>
              <w:t>Proposed route</w:t>
            </w:r>
          </w:p>
        </w:tc>
      </w:tr>
      <w:tr>
        <w:trPr>
          <w:cantSplit/>
        </w:trPr>
        <w:tc>
          <w:tcPr>
            <w:tcW w:type="dxa" w:w="4464"/>
            <w:vAlign w:val="center"/>
            <w:shd w:fill="FFFFFF"/>
          </w:tcPr>
          <w:p>
            <w:pPr>
              <w:spacing w:after="0" w:before="0" w:line="250" w:lineRule="auto"/>
            </w:pPr>
            <w:r>
              <w:rPr>
                <w:rFonts w:ascii="Courier New" w:hAnsi="Courier New"/>
                <w:sz w:val="20"/>
              </w:rPr>
              <w:t>home/home</w:t>
            </w:r>
          </w:p>
        </w:tc>
        <w:tc>
          <w:tcPr>
            <w:tcW w:type="dxa" w:w="5760"/>
            <w:vAlign w:val="center"/>
            <w:shd w:fill="FFFFFF"/>
          </w:tcPr>
          <w:p>
            <w:pPr>
              <w:spacing w:after="0" w:before="0" w:line="250" w:lineRule="auto"/>
            </w:pPr>
            <w:r>
              <w:rPr>
                <w:rFonts w:ascii="Courier New" w:hAnsi="Courier New"/>
                <w:sz w:val="20"/>
              </w:rPr>
              <w:t>overview/dashboard</w:t>
            </w:r>
          </w:p>
        </w:tc>
      </w:tr>
      <w:tr>
        <w:trPr>
          <w:cantSplit/>
        </w:trPr>
        <w:tc>
          <w:tcPr>
            <w:tcW w:type="dxa" w:w="4464"/>
            <w:vAlign w:val="center"/>
            <w:shd w:fill="F4F4F4"/>
          </w:tcPr>
          <w:p>
            <w:pPr>
              <w:spacing w:after="0" w:before="0" w:line="250" w:lineRule="auto"/>
            </w:pPr>
            <w:r>
              <w:rPr>
                <w:rFonts w:ascii="Courier New" w:hAnsi="Courier New"/>
                <w:sz w:val="20"/>
              </w:rPr>
              <w:t>reports/today</w:t>
            </w:r>
          </w:p>
        </w:tc>
        <w:tc>
          <w:tcPr>
            <w:tcW w:type="dxa" w:w="5760"/>
            <w:vAlign w:val="center"/>
            <w:shd w:fill="F4F4F4"/>
          </w:tcPr>
          <w:p>
            <w:pPr>
              <w:spacing w:after="0" w:before="0" w:line="250" w:lineRule="auto"/>
            </w:pPr>
            <w:r>
              <w:rPr>
                <w:rFonts w:ascii="Courier New" w:hAnsi="Courier New"/>
                <w:sz w:val="20"/>
              </w:rPr>
              <w:t>overview/today</w:t>
            </w:r>
          </w:p>
        </w:tc>
      </w:tr>
      <w:tr>
        <w:trPr>
          <w:cantSplit/>
        </w:trPr>
        <w:tc>
          <w:tcPr>
            <w:tcW w:type="dxa" w:w="4464"/>
            <w:vAlign w:val="center"/>
            <w:shd w:fill="FFFFFF"/>
          </w:tcPr>
          <w:p>
            <w:pPr>
              <w:spacing w:after="0" w:before="0" w:line="250" w:lineRule="auto"/>
            </w:pPr>
            <w:r>
              <w:rPr>
                <w:rFonts w:ascii="Courier New" w:hAnsi="Courier New"/>
                <w:sz w:val="20"/>
              </w:rPr>
              <w:t>customers/business</w:t>
            </w:r>
          </w:p>
        </w:tc>
        <w:tc>
          <w:tcPr>
            <w:tcW w:type="dxa" w:w="5760"/>
            <w:vAlign w:val="center"/>
            <w:shd w:fill="FFFFFF"/>
          </w:tcPr>
          <w:p>
            <w:pPr>
              <w:spacing w:after="0" w:before="0" w:line="250" w:lineRule="auto"/>
            </w:pPr>
            <w:r>
              <w:rPr>
                <w:rFonts w:ascii="Courier New" w:hAnsi="Courier New"/>
                <w:sz w:val="20"/>
              </w:rPr>
              <w:t>overview/business</w:t>
            </w:r>
          </w:p>
        </w:tc>
      </w:tr>
      <w:tr>
        <w:trPr>
          <w:cantSplit/>
        </w:trPr>
        <w:tc>
          <w:tcPr>
            <w:tcW w:type="dxa" w:w="4464"/>
            <w:vAlign w:val="center"/>
            <w:shd w:fill="F4F4F4"/>
          </w:tcPr>
          <w:p>
            <w:pPr>
              <w:spacing w:after="0" w:before="0" w:line="250" w:lineRule="auto"/>
            </w:pPr>
            <w:r>
              <w:rPr>
                <w:rFonts w:ascii="Courier New" w:hAnsi="Courier New"/>
                <w:sz w:val="20"/>
              </w:rPr>
              <w:t>reports/scorecard</w:t>
            </w:r>
          </w:p>
        </w:tc>
        <w:tc>
          <w:tcPr>
            <w:tcW w:type="dxa" w:w="5760"/>
            <w:vAlign w:val="center"/>
            <w:shd w:fill="F4F4F4"/>
          </w:tcPr>
          <w:p>
            <w:pPr>
              <w:spacing w:after="0" w:before="0" w:line="250" w:lineRule="auto"/>
            </w:pPr>
            <w:r>
              <w:rPr>
                <w:rFonts w:ascii="Courier New" w:hAnsi="Courier New"/>
                <w:sz w:val="20"/>
              </w:rPr>
              <w:t>overview/scorecard</w:t>
            </w:r>
          </w:p>
        </w:tc>
      </w:tr>
      <w:tr>
        <w:trPr>
          <w:cantSplit/>
        </w:trPr>
        <w:tc>
          <w:tcPr>
            <w:tcW w:type="dxa" w:w="4464"/>
            <w:vAlign w:val="center"/>
            <w:shd w:fill="FFFFFF"/>
          </w:tcPr>
          <w:p>
            <w:pPr>
              <w:spacing w:after="0" w:before="0" w:line="250" w:lineRule="auto"/>
            </w:pPr>
            <w:r>
              <w:rPr>
                <w:rFonts w:ascii="Courier New" w:hAnsi="Courier New"/>
                <w:sz w:val="20"/>
              </w:rPr>
              <w:t>reports/weekly-review</w:t>
            </w:r>
          </w:p>
        </w:tc>
        <w:tc>
          <w:tcPr>
            <w:tcW w:type="dxa" w:w="5760"/>
            <w:vAlign w:val="center"/>
            <w:shd w:fill="FFFFFF"/>
          </w:tcPr>
          <w:p>
            <w:pPr>
              <w:spacing w:after="0" w:before="0" w:line="250" w:lineRule="auto"/>
            </w:pPr>
            <w:r>
              <w:rPr>
                <w:rFonts w:ascii="Courier New" w:hAnsi="Courier New"/>
                <w:sz w:val="20"/>
              </w:rPr>
              <w:t>overview/weekly-review</w:t>
            </w:r>
          </w:p>
        </w:tc>
      </w:tr>
      <w:tr>
        <w:trPr>
          <w:cantSplit/>
        </w:trPr>
        <w:tc>
          <w:tcPr>
            <w:tcW w:type="dxa" w:w="4464"/>
            <w:vAlign w:val="center"/>
            <w:shd w:fill="F4F4F4"/>
          </w:tcPr>
          <w:p>
            <w:pPr>
              <w:spacing w:after="0" w:before="0" w:line="250" w:lineRule="auto"/>
            </w:pPr>
            <w:r>
              <w:rPr>
                <w:rFonts w:ascii="Courier New" w:hAnsi="Courier New"/>
                <w:sz w:val="20"/>
              </w:rPr>
              <w:t>sales/sales</w:t>
            </w:r>
          </w:p>
        </w:tc>
        <w:tc>
          <w:tcPr>
            <w:tcW w:type="dxa" w:w="5760"/>
            <w:vAlign w:val="center"/>
            <w:shd w:fill="F4F4F4"/>
          </w:tcPr>
          <w:p>
            <w:pPr>
              <w:spacing w:after="0" w:before="0" w:line="250" w:lineRule="auto"/>
            </w:pPr>
            <w:r>
              <w:rPr>
                <w:rFonts w:ascii="Courier New" w:hAnsi="Courier New"/>
                <w:sz w:val="20"/>
              </w:rPr>
              <w:t>sales/invoices</w:t>
            </w:r>
          </w:p>
        </w:tc>
      </w:tr>
      <w:tr>
        <w:trPr>
          <w:cantSplit/>
        </w:trPr>
        <w:tc>
          <w:tcPr>
            <w:tcW w:type="dxa" w:w="4464"/>
            <w:vAlign w:val="center"/>
            <w:shd w:fill="FFFFFF"/>
          </w:tcPr>
          <w:p>
            <w:pPr>
              <w:spacing w:after="0" w:before="0" w:line="250" w:lineRule="auto"/>
            </w:pPr>
            <w:r>
              <w:rPr>
                <w:rFonts w:ascii="Courier New" w:hAnsi="Courier New"/>
                <w:sz w:val="20"/>
              </w:rPr>
              <w:t>sales/returns</w:t>
            </w:r>
          </w:p>
        </w:tc>
        <w:tc>
          <w:tcPr>
            <w:tcW w:type="dxa" w:w="5760"/>
            <w:vAlign w:val="center"/>
            <w:shd w:fill="FFFFFF"/>
          </w:tcPr>
          <w:p>
            <w:pPr>
              <w:spacing w:after="0" w:before="0" w:line="250" w:lineRule="auto"/>
            </w:pPr>
            <w:r>
              <w:rPr>
                <w:rFonts w:ascii="Courier New" w:hAnsi="Courier New"/>
                <w:sz w:val="20"/>
              </w:rPr>
              <w:t>sales/returns-credit-notes</w:t>
            </w:r>
          </w:p>
        </w:tc>
      </w:tr>
      <w:tr>
        <w:trPr>
          <w:cantSplit/>
        </w:trPr>
        <w:tc>
          <w:tcPr>
            <w:tcW w:type="dxa" w:w="4464"/>
            <w:vAlign w:val="center"/>
            <w:shd w:fill="F4F4F4"/>
          </w:tcPr>
          <w:p>
            <w:pPr>
              <w:spacing w:after="0" w:before="0" w:line="250" w:lineRule="auto"/>
            </w:pPr>
            <w:r>
              <w:rPr>
                <w:rFonts w:ascii="Courier New" w:hAnsi="Courier New"/>
                <w:sz w:val="20"/>
              </w:rPr>
              <w:t>finance/credit_note</w:t>
            </w:r>
          </w:p>
        </w:tc>
        <w:tc>
          <w:tcPr>
            <w:tcW w:type="dxa" w:w="5760"/>
            <w:vAlign w:val="center"/>
            <w:shd w:fill="F4F4F4"/>
          </w:tcPr>
          <w:p>
            <w:pPr>
              <w:spacing w:after="0" w:before="0" w:line="250" w:lineRule="auto"/>
            </w:pPr>
            <w:r>
              <w:rPr>
                <w:rFonts w:ascii="Courier New" w:hAnsi="Courier New"/>
                <w:sz w:val="20"/>
              </w:rPr>
              <w:t>sales/returns-credit-notes</w:t>
            </w:r>
          </w:p>
        </w:tc>
      </w:tr>
      <w:tr>
        <w:trPr>
          <w:cantSplit/>
        </w:trPr>
        <w:tc>
          <w:tcPr>
            <w:tcW w:type="dxa" w:w="4464"/>
            <w:vAlign w:val="center"/>
            <w:shd w:fill="FFFFFF"/>
          </w:tcPr>
          <w:p>
            <w:pPr>
              <w:spacing w:after="0" w:before="0" w:line="250" w:lineRule="auto"/>
            </w:pPr>
            <w:r>
              <w:rPr>
                <w:rFonts w:ascii="Courier New" w:hAnsi="Courier New"/>
                <w:sz w:val="20"/>
              </w:rPr>
              <w:t>sales/items</w:t>
            </w:r>
          </w:p>
        </w:tc>
        <w:tc>
          <w:tcPr>
            <w:tcW w:type="dxa" w:w="5760"/>
            <w:vAlign w:val="center"/>
            <w:shd w:fill="FFFFFF"/>
          </w:tcPr>
          <w:p>
            <w:pPr>
              <w:spacing w:after="0" w:before="0" w:line="250" w:lineRule="auto"/>
            </w:pPr>
            <w:r>
              <w:rPr>
                <w:rFonts w:ascii="Courier New" w:hAnsi="Courier New"/>
                <w:sz w:val="20"/>
              </w:rPr>
              <w:t>sales/item-wise</w:t>
            </w:r>
          </w:p>
        </w:tc>
      </w:tr>
      <w:tr>
        <w:trPr>
          <w:cantSplit/>
        </w:trPr>
        <w:tc>
          <w:tcPr>
            <w:tcW w:type="dxa" w:w="4464"/>
            <w:vAlign w:val="center"/>
            <w:shd w:fill="F4F4F4"/>
          </w:tcPr>
          <w:p>
            <w:pPr>
              <w:spacing w:after="0" w:before="0" w:line="250" w:lineRule="auto"/>
            </w:pPr>
            <w:r>
              <w:rPr>
                <w:rFonts w:ascii="Courier New" w:hAnsi="Courier New"/>
                <w:sz w:val="20"/>
              </w:rPr>
              <w:t>customers/reps</w:t>
            </w:r>
          </w:p>
        </w:tc>
        <w:tc>
          <w:tcPr>
            <w:tcW w:type="dxa" w:w="5760"/>
            <w:vAlign w:val="center"/>
            <w:shd w:fill="F4F4F4"/>
          </w:tcPr>
          <w:p>
            <w:pPr>
              <w:spacing w:after="0" w:before="0" w:line="250" w:lineRule="auto"/>
            </w:pPr>
            <w:r>
              <w:rPr>
                <w:rFonts w:ascii="Courier New" w:hAnsi="Courier New"/>
                <w:sz w:val="20"/>
              </w:rPr>
              <w:t>sales/reps</w:t>
            </w:r>
          </w:p>
        </w:tc>
      </w:tr>
      <w:tr>
        <w:trPr>
          <w:cantSplit/>
        </w:trPr>
        <w:tc>
          <w:tcPr>
            <w:tcW w:type="dxa" w:w="4464"/>
            <w:vAlign w:val="center"/>
            <w:shd w:fill="FFFFFF"/>
          </w:tcPr>
          <w:p>
            <w:pPr>
              <w:spacing w:after="0" w:before="0" w:line="250" w:lineRule="auto"/>
            </w:pPr>
            <w:r>
              <w:rPr>
                <w:rFonts w:ascii="Courier New" w:hAnsi="Courier New"/>
                <w:sz w:val="20"/>
              </w:rPr>
              <w:t>reports/sales-change</w:t>
            </w:r>
          </w:p>
        </w:tc>
        <w:tc>
          <w:tcPr>
            <w:tcW w:type="dxa" w:w="5760"/>
            <w:vAlign w:val="center"/>
            <w:shd w:fill="FFFFFF"/>
          </w:tcPr>
          <w:p>
            <w:pPr>
              <w:spacing w:after="0" w:before="0" w:line="250" w:lineRule="auto"/>
            </w:pPr>
            <w:r>
              <w:rPr>
                <w:rFonts w:ascii="Courier New" w:hAnsi="Courier New"/>
                <w:sz w:val="20"/>
              </w:rPr>
              <w:t>sales/change</w:t>
            </w:r>
          </w:p>
        </w:tc>
      </w:tr>
      <w:tr>
        <w:trPr>
          <w:cantSplit/>
        </w:trPr>
        <w:tc>
          <w:tcPr>
            <w:tcW w:type="dxa" w:w="4464"/>
            <w:vAlign w:val="center"/>
            <w:shd w:fill="F4F4F4"/>
          </w:tcPr>
          <w:p>
            <w:pPr>
              <w:spacing w:after="0" w:before="0" w:line="250" w:lineRule="auto"/>
            </w:pPr>
            <w:r>
              <w:rPr>
                <w:rFonts w:ascii="Courier New" w:hAnsi="Courier New"/>
                <w:sz w:val="20"/>
              </w:rPr>
              <w:t>customers/customers</w:t>
            </w:r>
          </w:p>
        </w:tc>
        <w:tc>
          <w:tcPr>
            <w:tcW w:type="dxa" w:w="5760"/>
            <w:vAlign w:val="center"/>
            <w:shd w:fill="F4F4F4"/>
          </w:tcPr>
          <w:p>
            <w:pPr>
              <w:spacing w:after="0" w:before="0" w:line="250" w:lineRule="auto"/>
            </w:pPr>
            <w:r>
              <w:rPr>
                <w:rFonts w:ascii="Courier New" w:hAnsi="Courier New"/>
                <w:sz w:val="20"/>
              </w:rPr>
              <w:t>customers/list</w:t>
            </w:r>
          </w:p>
        </w:tc>
      </w:tr>
      <w:tr>
        <w:trPr>
          <w:cantSplit/>
        </w:trPr>
        <w:tc>
          <w:tcPr>
            <w:tcW w:type="dxa" w:w="4464"/>
            <w:vAlign w:val="center"/>
            <w:shd w:fill="FFFFFF"/>
          </w:tcPr>
          <w:p>
            <w:pPr>
              <w:spacing w:after="0" w:before="0" w:line="250" w:lineRule="auto"/>
            </w:pPr>
            <w:r>
              <w:rPr>
                <w:rFonts w:ascii="Courier New" w:hAnsi="Courier New"/>
                <w:sz w:val="20"/>
              </w:rPr>
              <w:t>customers/groups</w:t>
            </w:r>
          </w:p>
        </w:tc>
        <w:tc>
          <w:tcPr>
            <w:tcW w:type="dxa" w:w="5760"/>
            <w:vAlign w:val="center"/>
            <w:shd w:fill="FFFFFF"/>
          </w:tcPr>
          <w:p>
            <w:pPr>
              <w:spacing w:after="0" w:before="0" w:line="250" w:lineRule="auto"/>
            </w:pPr>
            <w:r>
              <w:rPr>
                <w:rFonts w:ascii="Courier New" w:hAnsi="Courier New"/>
                <w:sz w:val="20"/>
              </w:rPr>
              <w:t>customers/groups</w:t>
            </w:r>
          </w:p>
        </w:tc>
      </w:tr>
      <w:tr>
        <w:trPr>
          <w:cantSplit/>
        </w:trPr>
        <w:tc>
          <w:tcPr>
            <w:tcW w:type="dxa" w:w="4464"/>
            <w:vAlign w:val="center"/>
            <w:shd w:fill="F4F4F4"/>
          </w:tcPr>
          <w:p>
            <w:pPr>
              <w:spacing w:after="0" w:before="0" w:line="250" w:lineRule="auto"/>
            </w:pPr>
            <w:r>
              <w:rPr>
                <w:rFonts w:ascii="Courier New" w:hAnsi="Courier New"/>
                <w:sz w:val="20"/>
              </w:rPr>
              <w:t>reports/customer-movement</w:t>
            </w:r>
          </w:p>
        </w:tc>
        <w:tc>
          <w:tcPr>
            <w:tcW w:type="dxa" w:w="5760"/>
            <w:vAlign w:val="center"/>
            <w:shd w:fill="F4F4F4"/>
          </w:tcPr>
          <w:p>
            <w:pPr>
              <w:spacing w:after="0" w:before="0" w:line="250" w:lineRule="auto"/>
            </w:pPr>
            <w:r>
              <w:rPr>
                <w:rFonts w:ascii="Courier New" w:hAnsi="Courier New"/>
                <w:sz w:val="20"/>
              </w:rPr>
              <w:t>customers/movement</w:t>
            </w:r>
          </w:p>
        </w:tc>
      </w:tr>
      <w:tr>
        <w:trPr>
          <w:cantSplit/>
        </w:trPr>
        <w:tc>
          <w:tcPr>
            <w:tcW w:type="dxa" w:w="4464"/>
            <w:vAlign w:val="center"/>
            <w:shd w:fill="FFFFFF"/>
          </w:tcPr>
          <w:p>
            <w:pPr>
              <w:spacing w:after="0" w:before="0" w:line="250" w:lineRule="auto"/>
            </w:pPr>
            <w:r>
              <w:rPr>
                <w:rFonts w:ascii="Courier New" w:hAnsi="Courier New"/>
                <w:sz w:val="20"/>
              </w:rPr>
              <w:t>reports/collection-worklist</w:t>
            </w:r>
          </w:p>
        </w:tc>
        <w:tc>
          <w:tcPr>
            <w:tcW w:type="dxa" w:w="5760"/>
            <w:vAlign w:val="center"/>
            <w:shd w:fill="FFFFFF"/>
          </w:tcPr>
          <w:p>
            <w:pPr>
              <w:spacing w:after="0" w:before="0" w:line="250" w:lineRule="auto"/>
            </w:pPr>
            <w:r>
              <w:rPr>
                <w:rFonts w:ascii="Courier New" w:hAnsi="Courier New"/>
                <w:sz w:val="20"/>
              </w:rPr>
              <w:t>finance/collection-worklist</w:t>
            </w:r>
          </w:p>
        </w:tc>
      </w:tr>
      <w:tr>
        <w:trPr>
          <w:cantSplit/>
        </w:trPr>
        <w:tc>
          <w:tcPr>
            <w:tcW w:type="dxa" w:w="4464"/>
            <w:vAlign w:val="center"/>
            <w:shd w:fill="F4F4F4"/>
          </w:tcPr>
          <w:p>
            <w:pPr>
              <w:spacing w:after="0" w:before="0" w:line="250" w:lineRule="auto"/>
            </w:pPr>
            <w:r>
              <w:rPr>
                <w:rFonts w:ascii="Courier New" w:hAnsi="Courier New"/>
                <w:sz w:val="20"/>
              </w:rPr>
              <w:t>finance/arr</w:t>
            </w:r>
          </w:p>
        </w:tc>
        <w:tc>
          <w:tcPr>
            <w:tcW w:type="dxa" w:w="5760"/>
            <w:vAlign w:val="center"/>
            <w:shd w:fill="F4F4F4"/>
          </w:tcPr>
          <w:p>
            <w:pPr>
              <w:spacing w:after="0" w:before="0" w:line="250" w:lineRule="auto"/>
            </w:pPr>
            <w:r>
              <w:rPr>
                <w:rFonts w:ascii="Courier New" w:hAnsi="Courier New"/>
                <w:sz w:val="20"/>
              </w:rPr>
              <w:t>finance/outstanding</w:t>
            </w:r>
          </w:p>
        </w:tc>
      </w:tr>
      <w:tr>
        <w:trPr>
          <w:cantSplit/>
        </w:trPr>
        <w:tc>
          <w:tcPr>
            <w:tcW w:type="dxa" w:w="4464"/>
            <w:vAlign w:val="center"/>
            <w:shd w:fill="FFFFFF"/>
          </w:tcPr>
          <w:p>
            <w:pPr>
              <w:spacing w:after="0" w:before="0" w:line="250" w:lineRule="auto"/>
            </w:pPr>
            <w:r>
              <w:rPr>
                <w:rFonts w:ascii="Courier New" w:hAnsi="Courier New"/>
                <w:sz w:val="20"/>
              </w:rPr>
              <w:t>finance/receipt</w:t>
            </w:r>
          </w:p>
        </w:tc>
        <w:tc>
          <w:tcPr>
            <w:tcW w:type="dxa" w:w="5760"/>
            <w:vAlign w:val="center"/>
            <w:shd w:fill="FFFFFF"/>
          </w:tcPr>
          <w:p>
            <w:pPr>
              <w:spacing w:after="0" w:before="0" w:line="250" w:lineRule="auto"/>
            </w:pPr>
            <w:r>
              <w:rPr>
                <w:rFonts w:ascii="Courier New" w:hAnsi="Courier New"/>
                <w:sz w:val="20"/>
              </w:rPr>
              <w:t>finance/receipts</w:t>
            </w:r>
          </w:p>
        </w:tc>
      </w:tr>
      <w:tr>
        <w:trPr>
          <w:cantSplit/>
        </w:trPr>
        <w:tc>
          <w:tcPr>
            <w:tcW w:type="dxa" w:w="4464"/>
            <w:vAlign w:val="center"/>
            <w:shd w:fill="F4F4F4"/>
          </w:tcPr>
          <w:p>
            <w:pPr>
              <w:spacing w:after="0" w:before="0" w:line="250" w:lineRule="auto"/>
            </w:pPr>
            <w:r>
              <w:rPr>
                <w:rFonts w:ascii="Courier New" w:hAnsi="Courier New"/>
                <w:sz w:val="20"/>
              </w:rPr>
              <w:t>finance/payments</w:t>
            </w:r>
          </w:p>
        </w:tc>
        <w:tc>
          <w:tcPr>
            <w:tcW w:type="dxa" w:w="5760"/>
            <w:vAlign w:val="center"/>
            <w:shd w:fill="F4F4F4"/>
          </w:tcPr>
          <w:p>
            <w:pPr>
              <w:spacing w:after="0" w:before="0" w:line="250" w:lineRule="auto"/>
            </w:pPr>
            <w:r>
              <w:rPr>
                <w:rFonts w:ascii="Courier New" w:hAnsi="Courier New"/>
                <w:sz w:val="20"/>
              </w:rPr>
              <w:t>finance/payments</w:t>
            </w:r>
          </w:p>
        </w:tc>
      </w:tr>
      <w:tr>
        <w:trPr>
          <w:cantSplit/>
        </w:trPr>
        <w:tc>
          <w:tcPr>
            <w:tcW w:type="dxa" w:w="4464"/>
            <w:vAlign w:val="center"/>
            <w:shd w:fill="FFFFFF"/>
          </w:tcPr>
          <w:p>
            <w:pPr>
              <w:spacing w:after="0" w:before="0" w:line="250" w:lineRule="auto"/>
            </w:pPr>
            <w:r>
              <w:rPr>
                <w:rFonts w:ascii="Courier New" w:hAnsi="Courier New"/>
                <w:sz w:val="20"/>
              </w:rPr>
              <w:t>finance/cash</w:t>
            </w:r>
          </w:p>
        </w:tc>
        <w:tc>
          <w:tcPr>
            <w:tcW w:type="dxa" w:w="5760"/>
            <w:vAlign w:val="center"/>
            <w:shd w:fill="FFFFFF"/>
          </w:tcPr>
          <w:p>
            <w:pPr>
              <w:spacing w:after="0" w:before="0" w:line="250" w:lineRule="auto"/>
            </w:pPr>
            <w:r>
              <w:rPr>
                <w:rFonts w:ascii="Courier New" w:hAnsi="Courier New"/>
                <w:sz w:val="20"/>
              </w:rPr>
              <w:t>finance/cash</w:t>
            </w:r>
          </w:p>
        </w:tc>
      </w:tr>
      <w:tr>
        <w:trPr>
          <w:cantSplit/>
        </w:trPr>
        <w:tc>
          <w:tcPr>
            <w:tcW w:type="dxa" w:w="4464"/>
            <w:vAlign w:val="center"/>
            <w:shd w:fill="F4F4F4"/>
          </w:tcPr>
          <w:p>
            <w:pPr>
              <w:spacing w:after="0" w:before="0" w:line="250" w:lineRule="auto"/>
            </w:pPr>
            <w:r>
              <w:rPr>
                <w:rFonts w:ascii="Courier New" w:hAnsi="Courier New"/>
                <w:sz w:val="20"/>
              </w:rPr>
              <w:t>finance/party</w:t>
            </w:r>
          </w:p>
        </w:tc>
        <w:tc>
          <w:tcPr>
            <w:tcW w:type="dxa" w:w="5760"/>
            <w:vAlign w:val="center"/>
            <w:shd w:fill="F4F4F4"/>
          </w:tcPr>
          <w:p>
            <w:pPr>
              <w:spacing w:after="0" w:before="0" w:line="250" w:lineRule="auto"/>
            </w:pPr>
            <w:r>
              <w:rPr>
                <w:rFonts w:ascii="Courier New" w:hAnsi="Courier New"/>
                <w:sz w:val="20"/>
              </w:rPr>
              <w:t>finance/parties</w:t>
            </w:r>
          </w:p>
        </w:tc>
      </w:tr>
    </w:tbl>
    <w:p>
      <w:pPr>
        <w:spacing w:after="40" w:before="0" w:line="120" w:lineRule="auto"/>
      </w:pPr>
      <w:r>
        <w:rPr>
          <w:sz w:val="6"/>
        </w:rPr>
      </w:r>
    </w:p>
    <w:p>
      <w:pPr>
        <w:pStyle w:val="Heading2"/>
      </w:pPr>
      <w:r>
        <w:t>Returns and credit notes</w:t>
      </w:r>
    </w:p>
    <w:p>
      <w:r>
        <w:t>Sales returns and Finance credit notes currently render the same credit_note data page. Consolidate their destination and preserve credit_note.view. Both old routes must open the same page.</w:t>
      </w:r>
    </w:p>
    <w:p>
      <w:pPr>
        <w:pStyle w:val="Heading2"/>
      </w:pPr>
      <w:r>
        <w:t>Customer and rep navigation</w:t>
      </w:r>
    </w:p>
    <w:p>
      <w:r>
        <w:t>Move Sales reps into Sales and Business overview into Overview while retaining their current profile renderers, customer.view permission, snapshot context, and links to customer and group details.</w:t>
      </w:r>
    </w:p>
    <w:p>
      <w:r>
        <w:rPr>
          <w:color w:val="464646"/>
          <w:sz w:val="18"/>
        </w:rPr>
        <w:t>Code references: web/src/theme.js:104; web/src/App.jsx:78, 373</w:t>
      </w:r>
    </w:p>
    <w:p>
      <w:r>
        <w:br w:type="page"/>
      </w:r>
    </w:p>
    <w:p>
      <w:pPr>
        <w:pStyle w:val="Heading1"/>
      </w:pPr>
      <w:r>
        <w:t>Route mapping for inventory reports and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4248"/>
        <w:gridCol w:w="5976"/>
      </w:tblGrid>
      <w:tr>
        <w:trPr>
          <w:cantSplit/>
          <w:tblHeader/>
        </w:trPr>
        <w:tc>
          <w:tcPr>
            <w:tcW w:type="dxa" w:w="4248"/>
            <w:vAlign w:val="center"/>
            <w:shd w:fill="363636"/>
          </w:tcPr>
          <w:p>
            <w:pPr>
              <w:spacing w:after="0" w:before="0" w:line="250" w:lineRule="auto"/>
            </w:pPr>
            <w:r>
              <w:rPr>
                <w:rFonts w:ascii="Arial" w:hAnsi="Arial"/>
                <w:b/>
                <w:color w:val="FFFFFF"/>
                <w:sz w:val="19"/>
              </w:rPr>
              <w:t>Current route</w:t>
            </w:r>
          </w:p>
        </w:tc>
        <w:tc>
          <w:tcPr>
            <w:tcW w:type="dxa" w:w="5976"/>
            <w:vAlign w:val="center"/>
            <w:shd w:fill="363636"/>
          </w:tcPr>
          <w:p>
            <w:pPr>
              <w:spacing w:after="0" w:before="0" w:line="250" w:lineRule="auto"/>
            </w:pPr>
            <w:r>
              <w:rPr>
                <w:rFonts w:ascii="Arial" w:hAnsi="Arial"/>
                <w:b/>
                <w:color w:val="FFFFFF"/>
                <w:sz w:val="19"/>
              </w:rPr>
              <w:t>Proposed route or library tab</w:t>
            </w:r>
          </w:p>
        </w:tc>
      </w:tr>
      <w:tr>
        <w:trPr>
          <w:cantSplit/>
        </w:trPr>
        <w:tc>
          <w:tcPr>
            <w:tcW w:type="dxa" w:w="4248"/>
            <w:vAlign w:val="center"/>
            <w:shd w:fill="FFFFFF"/>
          </w:tcPr>
          <w:p>
            <w:pPr>
              <w:spacing w:after="0" w:before="0" w:line="250" w:lineRule="auto"/>
            </w:pPr>
            <w:r>
              <w:rPr>
                <w:rFonts w:ascii="Courier New" w:hAnsi="Courier New"/>
                <w:sz w:val="19"/>
              </w:rPr>
              <w:t>stock/stock</w:t>
            </w:r>
          </w:p>
        </w:tc>
        <w:tc>
          <w:tcPr>
            <w:tcW w:type="dxa" w:w="5976"/>
            <w:vAlign w:val="center"/>
            <w:shd w:fill="FFFFFF"/>
          </w:tcPr>
          <w:p>
            <w:pPr>
              <w:spacing w:after="0" w:before="0" w:line="250" w:lineRule="auto"/>
            </w:pPr>
            <w:r>
              <w:rPr>
                <w:rFonts w:ascii="Courier New" w:hAnsi="Courier New"/>
                <w:sz w:val="19"/>
              </w:rPr>
              <w:t>inventory/stock</w:t>
            </w:r>
          </w:p>
        </w:tc>
      </w:tr>
      <w:tr>
        <w:trPr>
          <w:cantSplit/>
        </w:trPr>
        <w:tc>
          <w:tcPr>
            <w:tcW w:type="dxa" w:w="4248"/>
            <w:vAlign w:val="center"/>
            <w:shd w:fill="F4F4F4"/>
          </w:tcPr>
          <w:p>
            <w:pPr>
              <w:spacing w:after="0" w:before="0" w:line="250" w:lineRule="auto"/>
            </w:pPr>
            <w:r>
              <w:rPr>
                <w:rFonts w:ascii="Courier New" w:hAnsi="Courier New"/>
                <w:sz w:val="19"/>
              </w:rPr>
              <w:t>customers/items</w:t>
            </w:r>
          </w:p>
        </w:tc>
        <w:tc>
          <w:tcPr>
            <w:tcW w:type="dxa" w:w="5976"/>
            <w:vAlign w:val="center"/>
            <w:shd w:fill="F4F4F4"/>
          </w:tcPr>
          <w:p>
            <w:pPr>
              <w:spacing w:after="0" w:before="0" w:line="250" w:lineRule="auto"/>
            </w:pPr>
            <w:r>
              <w:rPr>
                <w:rFonts w:ascii="Courier New" w:hAnsi="Courier New"/>
                <w:sz w:val="19"/>
              </w:rPr>
              <w:t>inventory/item-profiles</w:t>
            </w:r>
          </w:p>
        </w:tc>
      </w:tr>
      <w:tr>
        <w:trPr>
          <w:cantSplit/>
        </w:trPr>
        <w:tc>
          <w:tcPr>
            <w:tcW w:type="dxa" w:w="4248"/>
            <w:vAlign w:val="center"/>
            <w:shd w:fill="FFFFFF"/>
          </w:tcPr>
          <w:p>
            <w:pPr>
              <w:spacing w:after="0" w:before="0" w:line="250" w:lineRule="auto"/>
            </w:pPr>
            <w:r>
              <w:rPr>
                <w:rFonts w:ascii="Courier New" w:hAnsi="Courier New"/>
                <w:sz w:val="19"/>
              </w:rPr>
              <w:t>customers/item-category</w:t>
            </w:r>
          </w:p>
        </w:tc>
        <w:tc>
          <w:tcPr>
            <w:tcW w:type="dxa" w:w="5976"/>
            <w:vAlign w:val="center"/>
            <w:shd w:fill="FFFFFF"/>
          </w:tcPr>
          <w:p>
            <w:pPr>
              <w:spacing w:after="0" w:before="0" w:line="250" w:lineRule="auto"/>
            </w:pPr>
            <w:r>
              <w:rPr>
                <w:rFonts w:ascii="Courier New" w:hAnsi="Courier New"/>
                <w:sz w:val="19"/>
              </w:rPr>
              <w:t>inventory/categories</w:t>
            </w:r>
          </w:p>
        </w:tc>
      </w:tr>
      <w:tr>
        <w:trPr>
          <w:cantSplit/>
        </w:trPr>
        <w:tc>
          <w:tcPr>
            <w:tcW w:type="dxa" w:w="4248"/>
            <w:vAlign w:val="center"/>
            <w:shd w:fill="F4F4F4"/>
          </w:tcPr>
          <w:p>
            <w:pPr>
              <w:spacing w:after="0" w:before="0" w:line="250" w:lineRule="auto"/>
            </w:pPr>
            <w:r>
              <w:rPr>
                <w:rFonts w:ascii="Courier New" w:hAnsi="Courier New"/>
                <w:sz w:val="19"/>
              </w:rPr>
              <w:t>customers/item-group</w:t>
            </w:r>
          </w:p>
        </w:tc>
        <w:tc>
          <w:tcPr>
            <w:tcW w:type="dxa" w:w="5976"/>
            <w:vAlign w:val="center"/>
            <w:shd w:fill="F4F4F4"/>
          </w:tcPr>
          <w:p>
            <w:pPr>
              <w:spacing w:after="0" w:before="0" w:line="250" w:lineRule="auto"/>
            </w:pPr>
            <w:r>
              <w:rPr>
                <w:rFonts w:ascii="Courier New" w:hAnsi="Courier New"/>
                <w:sz w:val="19"/>
              </w:rPr>
              <w:t>inventory/item-groups</w:t>
            </w:r>
          </w:p>
        </w:tc>
      </w:tr>
      <w:tr>
        <w:trPr>
          <w:cantSplit/>
        </w:trPr>
        <w:tc>
          <w:tcPr>
            <w:tcW w:type="dxa" w:w="4248"/>
            <w:vAlign w:val="center"/>
            <w:shd w:fill="FFFFFF"/>
          </w:tcPr>
          <w:p>
            <w:pPr>
              <w:spacing w:after="0" w:before="0" w:line="250" w:lineRule="auto"/>
            </w:pPr>
            <w:r>
              <w:rPr>
                <w:rFonts w:ascii="Courier New" w:hAnsi="Courier New"/>
                <w:sz w:val="19"/>
              </w:rPr>
              <w:t>customers/brand</w:t>
            </w:r>
          </w:p>
        </w:tc>
        <w:tc>
          <w:tcPr>
            <w:tcW w:type="dxa" w:w="5976"/>
            <w:vAlign w:val="center"/>
            <w:shd w:fill="FFFFFF"/>
          </w:tcPr>
          <w:p>
            <w:pPr>
              <w:spacing w:after="0" w:before="0" w:line="250" w:lineRule="auto"/>
            </w:pPr>
            <w:r>
              <w:rPr>
                <w:rFonts w:ascii="Courier New" w:hAnsi="Courier New"/>
                <w:sz w:val="19"/>
              </w:rPr>
              <w:t>inventory/brands</w:t>
            </w:r>
          </w:p>
        </w:tc>
      </w:tr>
      <w:tr>
        <w:trPr>
          <w:cantSplit/>
        </w:trPr>
        <w:tc>
          <w:tcPr>
            <w:tcW w:type="dxa" w:w="4248"/>
            <w:vAlign w:val="center"/>
            <w:shd w:fill="F4F4F4"/>
          </w:tcPr>
          <w:p>
            <w:pPr>
              <w:spacing w:after="0" w:before="0" w:line="250" w:lineRule="auto"/>
            </w:pPr>
            <w:r>
              <w:rPr>
                <w:rFonts w:ascii="Courier New" w:hAnsi="Courier New"/>
                <w:sz w:val="19"/>
              </w:rPr>
              <w:t>customers/supplier</w:t>
            </w:r>
          </w:p>
        </w:tc>
        <w:tc>
          <w:tcPr>
            <w:tcW w:type="dxa" w:w="5976"/>
            <w:vAlign w:val="center"/>
            <w:shd w:fill="F4F4F4"/>
          </w:tcPr>
          <w:p>
            <w:pPr>
              <w:spacing w:after="0" w:before="0" w:line="250" w:lineRule="auto"/>
            </w:pPr>
            <w:r>
              <w:rPr>
                <w:rFonts w:ascii="Courier New" w:hAnsi="Courier New"/>
                <w:sz w:val="19"/>
              </w:rPr>
              <w:t>inventory/suppliers</w:t>
            </w:r>
          </w:p>
        </w:tc>
      </w:tr>
      <w:tr>
        <w:trPr>
          <w:cantSplit/>
        </w:trPr>
        <w:tc>
          <w:tcPr>
            <w:tcW w:type="dxa" w:w="4248"/>
            <w:vAlign w:val="center"/>
            <w:shd w:fill="FFFFFF"/>
          </w:tcPr>
          <w:p>
            <w:pPr>
              <w:spacing w:after="0" w:before="0" w:line="250" w:lineRule="auto"/>
            </w:pPr>
            <w:r>
              <w:rPr>
                <w:rFonts w:ascii="Courier New" w:hAnsi="Courier New"/>
                <w:sz w:val="19"/>
              </w:rPr>
              <w:t>reports/stock-decisions</w:t>
            </w:r>
          </w:p>
        </w:tc>
        <w:tc>
          <w:tcPr>
            <w:tcW w:type="dxa" w:w="5976"/>
            <w:vAlign w:val="center"/>
            <w:shd w:fill="FFFFFF"/>
          </w:tcPr>
          <w:p>
            <w:pPr>
              <w:spacing w:after="0" w:before="0" w:line="250" w:lineRule="auto"/>
            </w:pPr>
            <w:r>
              <w:rPr>
                <w:rFonts w:ascii="Courier New" w:hAnsi="Courier New"/>
                <w:sz w:val="19"/>
              </w:rPr>
              <w:t>inventory/stock-decisions</w:t>
            </w:r>
          </w:p>
        </w:tc>
      </w:tr>
      <w:tr>
        <w:trPr>
          <w:cantSplit/>
        </w:trPr>
        <w:tc>
          <w:tcPr>
            <w:tcW w:type="dxa" w:w="4248"/>
            <w:vAlign w:val="center"/>
            <w:shd w:fill="F4F4F4"/>
          </w:tcPr>
          <w:p>
            <w:pPr>
              <w:spacing w:after="0" w:before="0" w:line="250" w:lineRule="auto"/>
            </w:pPr>
            <w:r>
              <w:rPr>
                <w:rFonts w:ascii="Courier New" w:hAnsi="Courier New"/>
                <w:sz w:val="19"/>
              </w:rPr>
              <w:t>reports/reorder</w:t>
            </w:r>
          </w:p>
        </w:tc>
        <w:tc>
          <w:tcPr>
            <w:tcW w:type="dxa" w:w="5976"/>
            <w:vAlign w:val="center"/>
            <w:shd w:fill="F4F4F4"/>
          </w:tcPr>
          <w:p>
            <w:pPr>
              <w:spacing w:after="0" w:before="0" w:line="250" w:lineRule="auto"/>
            </w:pPr>
            <w:r>
              <w:rPr>
                <w:rFonts w:ascii="Courier New" w:hAnsi="Courier New"/>
                <w:sz w:val="19"/>
              </w:rPr>
              <w:t>inventory/reorder</w:t>
            </w:r>
          </w:p>
        </w:tc>
      </w:tr>
      <w:tr>
        <w:trPr>
          <w:cantSplit/>
        </w:trPr>
        <w:tc>
          <w:tcPr>
            <w:tcW w:type="dxa" w:w="4248"/>
            <w:vAlign w:val="center"/>
            <w:shd w:fill="FFFFFF"/>
          </w:tcPr>
          <w:p>
            <w:pPr>
              <w:spacing w:after="0" w:before="0" w:line="250" w:lineRule="auto"/>
            </w:pPr>
            <w:r>
              <w:rPr>
                <w:rFonts w:ascii="Courier New" w:hAnsi="Courier New"/>
                <w:sz w:val="19"/>
              </w:rPr>
              <w:t>reports/create</w:t>
            </w:r>
          </w:p>
        </w:tc>
        <w:tc>
          <w:tcPr>
            <w:tcW w:type="dxa" w:w="5976"/>
            <w:vAlign w:val="center"/>
            <w:shd w:fill="FFFFFF"/>
          </w:tcPr>
          <w:p>
            <w:pPr>
              <w:spacing w:after="0" w:before="0" w:line="250" w:lineRule="auto"/>
            </w:pPr>
            <w:r>
              <w:rPr>
                <w:rFonts w:ascii="Courier New" w:hAnsi="Courier New"/>
                <w:sz w:val="19"/>
              </w:rPr>
              <w:t>reports/create</w:t>
            </w:r>
          </w:p>
        </w:tc>
      </w:tr>
      <w:tr>
        <w:trPr>
          <w:cantSplit/>
        </w:trPr>
        <w:tc>
          <w:tcPr>
            <w:tcW w:type="dxa" w:w="4248"/>
            <w:vAlign w:val="center"/>
            <w:shd w:fill="F4F4F4"/>
          </w:tcPr>
          <w:p>
            <w:pPr>
              <w:spacing w:after="0" w:before="0" w:line="250" w:lineRule="auto"/>
            </w:pPr>
            <w:r>
              <w:rPr>
                <w:rFonts w:ascii="Courier New" w:hAnsi="Courier New"/>
                <w:sz w:val="19"/>
              </w:rPr>
              <w:t>reports/performance</w:t>
            </w:r>
          </w:p>
        </w:tc>
        <w:tc>
          <w:tcPr>
            <w:tcW w:type="dxa" w:w="5976"/>
            <w:vAlign w:val="center"/>
            <w:shd w:fill="F4F4F4"/>
          </w:tcPr>
          <w:p>
            <w:pPr>
              <w:spacing w:after="0" w:before="0" w:line="250" w:lineRule="auto"/>
            </w:pPr>
            <w:r>
              <w:rPr>
                <w:rFonts w:ascii="Courier New" w:hAnsi="Courier New"/>
                <w:sz w:val="19"/>
              </w:rPr>
              <w:t>reports/library  tab performance</w:t>
            </w:r>
          </w:p>
        </w:tc>
      </w:tr>
      <w:tr>
        <w:trPr>
          <w:cantSplit/>
        </w:trPr>
        <w:tc>
          <w:tcPr>
            <w:tcW w:type="dxa" w:w="4248"/>
            <w:vAlign w:val="center"/>
            <w:shd w:fill="FFFFFF"/>
          </w:tcPr>
          <w:p>
            <w:pPr>
              <w:spacing w:after="0" w:before="0" w:line="250" w:lineRule="auto"/>
            </w:pPr>
            <w:r>
              <w:rPr>
                <w:rFonts w:ascii="Courier New" w:hAnsi="Courier New"/>
                <w:sz w:val="19"/>
              </w:rPr>
              <w:t>reports/followup</w:t>
            </w:r>
          </w:p>
        </w:tc>
        <w:tc>
          <w:tcPr>
            <w:tcW w:type="dxa" w:w="5976"/>
            <w:vAlign w:val="center"/>
            <w:shd w:fill="FFFFFF"/>
          </w:tcPr>
          <w:p>
            <w:pPr>
              <w:spacing w:after="0" w:before="0" w:line="250" w:lineRule="auto"/>
            </w:pPr>
            <w:r>
              <w:rPr>
                <w:rFonts w:ascii="Courier New" w:hAnsi="Courier New"/>
                <w:sz w:val="19"/>
              </w:rPr>
              <w:t>reports/library  tab followup</w:t>
            </w:r>
          </w:p>
        </w:tc>
      </w:tr>
      <w:tr>
        <w:trPr>
          <w:cantSplit/>
        </w:trPr>
        <w:tc>
          <w:tcPr>
            <w:tcW w:type="dxa" w:w="4248"/>
            <w:vAlign w:val="center"/>
            <w:shd w:fill="F4F4F4"/>
          </w:tcPr>
          <w:p>
            <w:pPr>
              <w:spacing w:after="0" w:before="0" w:line="250" w:lineRule="auto"/>
            </w:pPr>
            <w:r>
              <w:rPr>
                <w:rFonts w:ascii="Courier New" w:hAnsi="Courier New"/>
                <w:sz w:val="19"/>
              </w:rPr>
              <w:t>reports/monthly</w:t>
            </w:r>
          </w:p>
        </w:tc>
        <w:tc>
          <w:tcPr>
            <w:tcW w:type="dxa" w:w="5976"/>
            <w:vAlign w:val="center"/>
            <w:shd w:fill="F4F4F4"/>
          </w:tcPr>
          <w:p>
            <w:pPr>
              <w:spacing w:after="0" w:before="0" w:line="250" w:lineRule="auto"/>
            </w:pPr>
            <w:r>
              <w:rPr>
                <w:rFonts w:ascii="Courier New" w:hAnsi="Courier New"/>
                <w:sz w:val="19"/>
              </w:rPr>
              <w:t>reports/library  tab monthly</w:t>
            </w:r>
          </w:p>
        </w:tc>
      </w:tr>
      <w:tr>
        <w:trPr>
          <w:cantSplit/>
        </w:trPr>
        <w:tc>
          <w:tcPr>
            <w:tcW w:type="dxa" w:w="4248"/>
            <w:vAlign w:val="center"/>
            <w:shd w:fill="FFFFFF"/>
          </w:tcPr>
          <w:p>
            <w:pPr>
              <w:spacing w:after="0" w:before="0" w:line="250" w:lineRule="auto"/>
            </w:pPr>
            <w:r>
              <w:rPr>
                <w:rFonts w:ascii="Courier New" w:hAnsi="Courier New"/>
                <w:sz w:val="19"/>
              </w:rPr>
              <w:t>reports/items</w:t>
            </w:r>
          </w:p>
        </w:tc>
        <w:tc>
          <w:tcPr>
            <w:tcW w:type="dxa" w:w="5976"/>
            <w:vAlign w:val="center"/>
            <w:shd w:fill="FFFFFF"/>
          </w:tcPr>
          <w:p>
            <w:pPr>
              <w:spacing w:after="0" w:before="0" w:line="250" w:lineRule="auto"/>
            </w:pPr>
            <w:r>
              <w:rPr>
                <w:rFonts w:ascii="Courier New" w:hAnsi="Courier New"/>
                <w:sz w:val="19"/>
              </w:rPr>
              <w:t>reports/library  tab items</w:t>
            </w:r>
          </w:p>
        </w:tc>
      </w:tr>
      <w:tr>
        <w:trPr>
          <w:cantSplit/>
        </w:trPr>
        <w:tc>
          <w:tcPr>
            <w:tcW w:type="dxa" w:w="4248"/>
            <w:vAlign w:val="center"/>
            <w:shd w:fill="F4F4F4"/>
          </w:tcPr>
          <w:p>
            <w:pPr>
              <w:spacing w:after="0" w:before="0" w:line="250" w:lineRule="auto"/>
            </w:pPr>
            <w:r>
              <w:rPr>
                <w:rFonts w:ascii="Courier New" w:hAnsi="Courier New"/>
                <w:sz w:val="19"/>
              </w:rPr>
              <w:t>reports/profit</w:t>
            </w:r>
          </w:p>
        </w:tc>
        <w:tc>
          <w:tcPr>
            <w:tcW w:type="dxa" w:w="5976"/>
            <w:vAlign w:val="center"/>
            <w:shd w:fill="F4F4F4"/>
          </w:tcPr>
          <w:p>
            <w:pPr>
              <w:spacing w:after="0" w:before="0" w:line="250" w:lineRule="auto"/>
            </w:pPr>
            <w:r>
              <w:rPr>
                <w:rFonts w:ascii="Courier New" w:hAnsi="Courier New"/>
                <w:sz w:val="19"/>
              </w:rPr>
              <w:t>reports/library  tab profit</w:t>
            </w:r>
          </w:p>
        </w:tc>
      </w:tr>
      <w:tr>
        <w:trPr>
          <w:cantSplit/>
        </w:trPr>
        <w:tc>
          <w:tcPr>
            <w:tcW w:type="dxa" w:w="4248"/>
            <w:vAlign w:val="center"/>
            <w:shd w:fill="FFFFFF"/>
          </w:tcPr>
          <w:p>
            <w:pPr>
              <w:spacing w:after="0" w:before="0" w:line="250" w:lineRule="auto"/>
            </w:pPr>
            <w:r>
              <w:rPr>
                <w:rFonts w:ascii="Courier New" w:hAnsi="Courier New"/>
                <w:sz w:val="19"/>
              </w:rPr>
              <w:t>reports/report-builder</w:t>
            </w:r>
          </w:p>
        </w:tc>
        <w:tc>
          <w:tcPr>
            <w:tcW w:type="dxa" w:w="5976"/>
            <w:vAlign w:val="center"/>
            <w:shd w:fill="FFFFFF"/>
          </w:tcPr>
          <w:p>
            <w:pPr>
              <w:spacing w:after="0" w:before="0" w:line="250" w:lineRule="auto"/>
            </w:pPr>
            <w:r>
              <w:rPr>
                <w:rFonts w:ascii="Courier New" w:hAnsi="Courier New"/>
                <w:sz w:val="19"/>
              </w:rPr>
              <w:t>reports/builder</w:t>
            </w:r>
          </w:p>
        </w:tc>
      </w:tr>
      <w:tr>
        <w:trPr>
          <w:cantSplit/>
        </w:trPr>
        <w:tc>
          <w:tcPr>
            <w:tcW w:type="dxa" w:w="4248"/>
            <w:vAlign w:val="center"/>
            <w:shd w:fill="F4F4F4"/>
          </w:tcPr>
          <w:p>
            <w:pPr>
              <w:spacing w:after="0" w:before="0" w:line="250" w:lineRule="auto"/>
            </w:pPr>
            <w:r>
              <w:rPr>
                <w:rFonts w:ascii="Courier New" w:hAnsi="Courier New"/>
                <w:sz w:val="19"/>
              </w:rPr>
              <w:t>data/export</w:t>
            </w:r>
          </w:p>
        </w:tc>
        <w:tc>
          <w:tcPr>
            <w:tcW w:type="dxa" w:w="5976"/>
            <w:vAlign w:val="center"/>
            <w:shd w:fill="F4F4F4"/>
          </w:tcPr>
          <w:p>
            <w:pPr>
              <w:spacing w:after="0" w:before="0" w:line="250" w:lineRule="auto"/>
            </w:pPr>
            <w:r>
              <w:rPr>
                <w:rFonts w:ascii="Courier New" w:hAnsi="Courier New"/>
                <w:sz w:val="19"/>
              </w:rPr>
              <w:t>reports/pdf-exports</w:t>
            </w:r>
          </w:p>
        </w:tc>
      </w:tr>
      <w:tr>
        <w:trPr>
          <w:cantSplit/>
        </w:trPr>
        <w:tc>
          <w:tcPr>
            <w:tcW w:type="dxa" w:w="4248"/>
            <w:vAlign w:val="center"/>
            <w:shd w:fill="FFFFFF"/>
          </w:tcPr>
          <w:p>
            <w:pPr>
              <w:spacing w:after="0" w:before="0" w:line="250" w:lineRule="auto"/>
            </w:pPr>
            <w:r>
              <w:rPr>
                <w:rFonts w:ascii="Courier New" w:hAnsi="Courier New"/>
                <w:sz w:val="19"/>
              </w:rPr>
              <w:t>data/excel</w:t>
            </w:r>
          </w:p>
        </w:tc>
        <w:tc>
          <w:tcPr>
            <w:tcW w:type="dxa" w:w="5976"/>
            <w:vAlign w:val="center"/>
            <w:shd w:fill="FFFFFF"/>
          </w:tcPr>
          <w:p>
            <w:pPr>
              <w:spacing w:after="0" w:before="0" w:line="250" w:lineRule="auto"/>
            </w:pPr>
            <w:r>
              <w:rPr>
                <w:rFonts w:ascii="Courier New" w:hAnsi="Courier New"/>
                <w:sz w:val="19"/>
              </w:rPr>
              <w:t>reports/excel-exports</w:t>
            </w:r>
          </w:p>
        </w:tc>
      </w:tr>
      <w:tr>
        <w:trPr>
          <w:cantSplit/>
        </w:trPr>
        <w:tc>
          <w:tcPr>
            <w:tcW w:type="dxa" w:w="4248"/>
            <w:vAlign w:val="center"/>
            <w:shd w:fill="F4F4F4"/>
          </w:tcPr>
          <w:p>
            <w:pPr>
              <w:spacing w:after="0" w:before="0" w:line="250" w:lineRule="auto"/>
            </w:pPr>
            <w:r>
              <w:rPr>
                <w:rFonts w:ascii="Courier New" w:hAnsi="Courier New"/>
                <w:sz w:val="19"/>
              </w:rPr>
              <w:t>data/import</w:t>
            </w:r>
          </w:p>
        </w:tc>
        <w:tc>
          <w:tcPr>
            <w:tcW w:type="dxa" w:w="5976"/>
            <w:vAlign w:val="center"/>
            <w:shd w:fill="F4F4F4"/>
          </w:tcPr>
          <w:p>
            <w:pPr>
              <w:spacing w:after="0" w:before="0" w:line="250" w:lineRule="auto"/>
            </w:pPr>
            <w:r>
              <w:rPr>
                <w:rFonts w:ascii="Courier New" w:hAnsi="Courier New"/>
                <w:sz w:val="19"/>
              </w:rPr>
              <w:t>data/import</w:t>
            </w:r>
          </w:p>
        </w:tc>
      </w:tr>
      <w:tr>
        <w:trPr>
          <w:cantSplit/>
        </w:trPr>
        <w:tc>
          <w:tcPr>
            <w:tcW w:type="dxa" w:w="4248"/>
            <w:vAlign w:val="center"/>
            <w:shd w:fill="FFFFFF"/>
          </w:tcPr>
          <w:p>
            <w:pPr>
              <w:spacing w:after="0" w:before="0" w:line="250" w:lineRule="auto"/>
            </w:pPr>
            <w:r>
              <w:rPr>
                <w:rFonts w:ascii="Courier New" w:hAnsi="Courier New"/>
                <w:sz w:val="19"/>
              </w:rPr>
              <w:t>data/explore</w:t>
            </w:r>
          </w:p>
        </w:tc>
        <w:tc>
          <w:tcPr>
            <w:tcW w:type="dxa" w:w="5976"/>
            <w:vAlign w:val="center"/>
            <w:shd w:fill="FFFFFF"/>
          </w:tcPr>
          <w:p>
            <w:pPr>
              <w:spacing w:after="0" w:before="0" w:line="250" w:lineRule="auto"/>
            </w:pPr>
            <w:r>
              <w:rPr>
                <w:rFonts w:ascii="Courier New" w:hAnsi="Courier New"/>
                <w:sz w:val="19"/>
              </w:rPr>
              <w:t>data/explore</w:t>
            </w:r>
          </w:p>
        </w:tc>
      </w:tr>
      <w:tr>
        <w:trPr>
          <w:cantSplit/>
        </w:trPr>
        <w:tc>
          <w:tcPr>
            <w:tcW w:type="dxa" w:w="4248"/>
            <w:vAlign w:val="center"/>
            <w:shd w:fill="F4F4F4"/>
          </w:tcPr>
          <w:p>
            <w:pPr>
              <w:spacing w:after="0" w:before="0" w:line="250" w:lineRule="auto"/>
            </w:pPr>
            <w:r>
              <w:rPr>
                <w:rFonts w:ascii="Courier New" w:hAnsi="Courier New"/>
                <w:sz w:val="19"/>
              </w:rPr>
              <w:t>reports/data-quality</w:t>
            </w:r>
          </w:p>
        </w:tc>
        <w:tc>
          <w:tcPr>
            <w:tcW w:type="dxa" w:w="5976"/>
            <w:vAlign w:val="center"/>
            <w:shd w:fill="F4F4F4"/>
          </w:tcPr>
          <w:p>
            <w:pPr>
              <w:spacing w:after="0" w:before="0" w:line="250" w:lineRule="auto"/>
            </w:pPr>
            <w:r>
              <w:rPr>
                <w:rFonts w:ascii="Courier New" w:hAnsi="Courier New"/>
                <w:sz w:val="19"/>
              </w:rPr>
              <w:t>data/quality</w:t>
            </w:r>
          </w:p>
        </w:tc>
      </w:tr>
      <w:tr>
        <w:trPr>
          <w:cantSplit/>
        </w:trPr>
        <w:tc>
          <w:tcPr>
            <w:tcW w:type="dxa" w:w="4248"/>
            <w:vAlign w:val="center"/>
            <w:shd w:fill="FFFFFF"/>
          </w:tcPr>
          <w:p>
            <w:pPr>
              <w:spacing w:after="0" w:before="0" w:line="250" w:lineRule="auto"/>
            </w:pPr>
            <w:r>
              <w:rPr>
                <w:rFonts w:ascii="Courier New" w:hAnsi="Courier New"/>
                <w:sz w:val="19"/>
              </w:rPr>
              <w:t>reports/issues</w:t>
            </w:r>
          </w:p>
        </w:tc>
        <w:tc>
          <w:tcPr>
            <w:tcW w:type="dxa" w:w="5976"/>
            <w:vAlign w:val="center"/>
            <w:shd w:fill="FFFFFF"/>
          </w:tcPr>
          <w:p>
            <w:pPr>
              <w:spacing w:after="0" w:before="0" w:line="250" w:lineRule="auto"/>
            </w:pPr>
            <w:r>
              <w:rPr>
                <w:rFonts w:ascii="Courier New" w:hAnsi="Courier New"/>
                <w:sz w:val="19"/>
              </w:rPr>
              <w:t>data/issue-reports</w:t>
            </w:r>
          </w:p>
        </w:tc>
      </w:tr>
    </w:tbl>
    <w:p>
      <w:pPr>
        <w:spacing w:after="40" w:before="0" w:line="120" w:lineRule="auto"/>
      </w:pPr>
      <w:r>
        <w:rPr>
          <w:sz w:val="6"/>
        </w:rPr>
      </w:r>
    </w:p>
    <w:p>
      <w:pPr>
        <w:pStyle w:val="Heading2"/>
      </w:pPr>
      <w:r>
        <w:t>Report data and downloads</w:t>
      </w:r>
    </w:p>
    <w:p>
      <w:r>
        <w:t>ReportsPage continues to receive the selected family and run. Preserve lazy loading of the full snapshot for report tables and PDF exports. Keep per-report PDF selection, regeneration, progress, failure feedback, and ZIP downloads. Excel must continue to include only the sheets the user can view.</w:t>
      </w:r>
    </w:p>
    <w:p>
      <w:pPr>
        <w:pStyle w:val="Heading2"/>
      </w:pPr>
      <w:r>
        <w:t>Separate quality destinations</w:t>
      </w:r>
    </w:p>
    <w:p>
      <w:r>
        <w:t>Data quality is the analytics exception view. Data issue reports are generated reports from a selected run. Keep separate renderers, permissions, and readiness behavior even though both move into Data.</w:t>
      </w:r>
    </w:p>
    <w:p>
      <w:r>
        <w:rPr>
          <w:color w:val="464646"/>
          <w:sz w:val="18"/>
        </w:rPr>
        <w:t>Code references: web/src/Reports.jsx:64; web/src/Export.jsx:29; web/src/Excel.jsx:4; web/src/App.jsx:234</w:t>
      </w:r>
    </w:p>
    <w:p>
      <w:r>
        <w:br w:type="page"/>
      </w:r>
    </w:p>
    <w:p>
      <w:pPr>
        <w:pStyle w:val="Heading1"/>
      </w:pPr>
      <w:r>
        <w:t>Route mapping for settings</w:t>
      </w:r>
    </w:p>
    <w:p>
      <w:r>
        <w:t>Legacy Settings destinations must open the corresponding grouped page and secondary tab. The alias result therefore needs a secondary selection as well as the primary tab and sub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816"/>
        <w:gridCol w:w="6408"/>
      </w:tblGrid>
      <w:tr>
        <w:trPr>
          <w:cantSplit/>
          <w:tblHeader/>
        </w:trPr>
        <w:tc>
          <w:tcPr>
            <w:tcW w:type="dxa" w:w="3816"/>
            <w:vAlign w:val="center"/>
            <w:shd w:fill="363636"/>
          </w:tcPr>
          <w:p>
            <w:pPr>
              <w:spacing w:after="0" w:before="0" w:line="250" w:lineRule="auto"/>
            </w:pPr>
            <w:r>
              <w:rPr>
                <w:rFonts w:ascii="Arial" w:hAnsi="Arial"/>
                <w:b/>
                <w:color w:val="FFFFFF"/>
                <w:sz w:val="20"/>
              </w:rPr>
              <w:t>Current route</w:t>
            </w:r>
          </w:p>
        </w:tc>
        <w:tc>
          <w:tcPr>
            <w:tcW w:type="dxa" w:w="6408"/>
            <w:vAlign w:val="center"/>
            <w:shd w:fill="363636"/>
          </w:tcPr>
          <w:p>
            <w:pPr>
              <w:spacing w:after="0" w:before="0" w:line="250" w:lineRule="auto"/>
            </w:pPr>
            <w:r>
              <w:rPr>
                <w:rFonts w:ascii="Arial" w:hAnsi="Arial"/>
                <w:b/>
                <w:color w:val="FFFFFF"/>
                <w:sz w:val="20"/>
              </w:rPr>
              <w:t>Proposed route and selected tab</w:t>
            </w:r>
          </w:p>
        </w:tc>
      </w:tr>
      <w:tr>
        <w:trPr>
          <w:cantSplit/>
        </w:trPr>
        <w:tc>
          <w:tcPr>
            <w:tcW w:type="dxa" w:w="3816"/>
            <w:vAlign w:val="center"/>
            <w:shd w:fill="FFFFFF"/>
          </w:tcPr>
          <w:p>
            <w:pPr>
              <w:spacing w:after="0" w:before="0" w:line="250" w:lineRule="auto"/>
            </w:pPr>
            <w:r>
              <w:rPr>
                <w:rFonts w:ascii="Courier New" w:hAnsi="Courier New"/>
                <w:sz w:val="20"/>
              </w:rPr>
              <w:t>settings/organization</w:t>
            </w:r>
          </w:p>
        </w:tc>
        <w:tc>
          <w:tcPr>
            <w:tcW w:type="dxa" w:w="6408"/>
            <w:vAlign w:val="center"/>
            <w:shd w:fill="FFFFFF"/>
          </w:tcPr>
          <w:p>
            <w:pPr>
              <w:spacing w:after="0" w:before="0" w:line="250" w:lineRule="auto"/>
            </w:pPr>
            <w:r>
              <w:rPr>
                <w:rFonts w:ascii="Courier New" w:hAnsi="Courier New"/>
                <w:sz w:val="20"/>
              </w:rPr>
              <w:t>settings/organization</w:t>
              <w:br/>
              <w:t>tab organization</w:t>
            </w:r>
          </w:p>
        </w:tc>
      </w:tr>
      <w:tr>
        <w:trPr>
          <w:cantSplit/>
        </w:trPr>
        <w:tc>
          <w:tcPr>
            <w:tcW w:type="dxa" w:w="3816"/>
            <w:vAlign w:val="center"/>
            <w:shd w:fill="F4F4F4"/>
          </w:tcPr>
          <w:p>
            <w:pPr>
              <w:spacing w:after="0" w:before="0" w:line="250" w:lineRule="auto"/>
            </w:pPr>
            <w:r>
              <w:rPr>
                <w:rFonts w:ascii="Courier New" w:hAnsi="Courier New"/>
                <w:sz w:val="20"/>
              </w:rPr>
              <w:t>settings/account-names</w:t>
            </w:r>
          </w:p>
        </w:tc>
        <w:tc>
          <w:tcPr>
            <w:tcW w:type="dxa" w:w="6408"/>
            <w:vAlign w:val="center"/>
            <w:shd w:fill="F4F4F4"/>
          </w:tcPr>
          <w:p>
            <w:pPr>
              <w:spacing w:after="0" w:before="0" w:line="250" w:lineRule="auto"/>
            </w:pPr>
            <w:r>
              <w:rPr>
                <w:rFonts w:ascii="Courier New" w:hAnsi="Courier New"/>
                <w:sz w:val="20"/>
              </w:rPr>
              <w:t>settings/organization</w:t>
              <w:br/>
              <w:t>tab account-names</w:t>
            </w:r>
          </w:p>
        </w:tc>
      </w:tr>
      <w:tr>
        <w:trPr>
          <w:cantSplit/>
        </w:trPr>
        <w:tc>
          <w:tcPr>
            <w:tcW w:type="dxa" w:w="3816"/>
            <w:vAlign w:val="center"/>
            <w:shd w:fill="FFFFFF"/>
          </w:tcPr>
          <w:p>
            <w:pPr>
              <w:spacing w:after="0" w:before="0" w:line="250" w:lineRule="auto"/>
            </w:pPr>
            <w:r>
              <w:rPr>
                <w:rFonts w:ascii="Courier New" w:hAnsi="Courier New"/>
                <w:sz w:val="20"/>
              </w:rPr>
              <w:t>settings/party-types</w:t>
            </w:r>
          </w:p>
        </w:tc>
        <w:tc>
          <w:tcPr>
            <w:tcW w:type="dxa" w:w="6408"/>
            <w:vAlign w:val="center"/>
            <w:shd w:fill="FFFFFF"/>
          </w:tcPr>
          <w:p>
            <w:pPr>
              <w:spacing w:after="0" w:before="0" w:line="250" w:lineRule="auto"/>
            </w:pPr>
            <w:r>
              <w:rPr>
                <w:rFonts w:ascii="Courier New" w:hAnsi="Courier New"/>
                <w:sz w:val="20"/>
              </w:rPr>
              <w:t>settings/organization</w:t>
              <w:br/>
              <w:t>tab party-types</w:t>
            </w:r>
          </w:p>
        </w:tc>
      </w:tr>
      <w:tr>
        <w:trPr>
          <w:cantSplit/>
        </w:trPr>
        <w:tc>
          <w:tcPr>
            <w:tcW w:type="dxa" w:w="3816"/>
            <w:vAlign w:val="center"/>
            <w:shd w:fill="F4F4F4"/>
          </w:tcPr>
          <w:p>
            <w:pPr>
              <w:spacing w:after="0" w:before="0" w:line="250" w:lineRule="auto"/>
            </w:pPr>
            <w:r>
              <w:rPr>
                <w:rFonts w:ascii="Courier New" w:hAnsi="Courier New"/>
                <w:sz w:val="20"/>
              </w:rPr>
              <w:t>settings/settlement</w:t>
            </w:r>
          </w:p>
        </w:tc>
        <w:tc>
          <w:tcPr>
            <w:tcW w:type="dxa" w:w="6408"/>
            <w:vAlign w:val="center"/>
            <w:shd w:fill="F4F4F4"/>
          </w:tcPr>
          <w:p>
            <w:pPr>
              <w:spacing w:after="0" w:before="0" w:line="250" w:lineRule="auto"/>
            </w:pPr>
            <w:r>
              <w:rPr>
                <w:rFonts w:ascii="Courier New" w:hAnsi="Courier New"/>
                <w:sz w:val="20"/>
              </w:rPr>
              <w:t>settings/business-rules</w:t>
              <w:br/>
              <w:t>tab settlement</w:t>
            </w:r>
          </w:p>
        </w:tc>
      </w:tr>
      <w:tr>
        <w:trPr>
          <w:cantSplit/>
        </w:trPr>
        <w:tc>
          <w:tcPr>
            <w:tcW w:type="dxa" w:w="3816"/>
            <w:vAlign w:val="center"/>
            <w:shd w:fill="FFFFFF"/>
          </w:tcPr>
          <w:p>
            <w:pPr>
              <w:spacing w:after="0" w:before="0" w:line="250" w:lineRule="auto"/>
            </w:pPr>
            <w:r>
              <w:rPr>
                <w:rFonts w:ascii="Courier New" w:hAnsi="Courier New"/>
                <w:sz w:val="20"/>
              </w:rPr>
              <w:t>settings/due-days</w:t>
            </w:r>
          </w:p>
        </w:tc>
        <w:tc>
          <w:tcPr>
            <w:tcW w:type="dxa" w:w="6408"/>
            <w:vAlign w:val="center"/>
            <w:shd w:fill="FFFFFF"/>
          </w:tcPr>
          <w:p>
            <w:pPr>
              <w:spacing w:after="0" w:before="0" w:line="250" w:lineRule="auto"/>
            </w:pPr>
            <w:r>
              <w:rPr>
                <w:rFonts w:ascii="Courier New" w:hAnsi="Courier New"/>
                <w:sz w:val="20"/>
              </w:rPr>
              <w:t>settings/business-rules</w:t>
              <w:br/>
              <w:t>tab due-days</w:t>
            </w:r>
          </w:p>
        </w:tc>
      </w:tr>
      <w:tr>
        <w:trPr>
          <w:cantSplit/>
        </w:trPr>
        <w:tc>
          <w:tcPr>
            <w:tcW w:type="dxa" w:w="3816"/>
            <w:vAlign w:val="center"/>
            <w:shd w:fill="F4F4F4"/>
          </w:tcPr>
          <w:p>
            <w:pPr>
              <w:spacing w:after="0" w:before="0" w:line="250" w:lineRule="auto"/>
            </w:pPr>
            <w:r>
              <w:rPr>
                <w:rFonts w:ascii="Courier New" w:hAnsi="Courier New"/>
                <w:sz w:val="20"/>
              </w:rPr>
              <w:t>settings/order-check</w:t>
            </w:r>
          </w:p>
        </w:tc>
        <w:tc>
          <w:tcPr>
            <w:tcW w:type="dxa" w:w="6408"/>
            <w:vAlign w:val="center"/>
            <w:shd w:fill="F4F4F4"/>
          </w:tcPr>
          <w:p>
            <w:pPr>
              <w:spacing w:after="0" w:before="0" w:line="250" w:lineRule="auto"/>
            </w:pPr>
            <w:r>
              <w:rPr>
                <w:rFonts w:ascii="Courier New" w:hAnsi="Courier New"/>
                <w:sz w:val="20"/>
              </w:rPr>
              <w:t>settings/business-rules</w:t>
              <w:br/>
              <w:t>tab order-check</w:t>
            </w:r>
          </w:p>
        </w:tc>
      </w:tr>
      <w:tr>
        <w:trPr>
          <w:cantSplit/>
        </w:trPr>
        <w:tc>
          <w:tcPr>
            <w:tcW w:type="dxa" w:w="3816"/>
            <w:vAlign w:val="center"/>
            <w:shd w:fill="FFFFFF"/>
          </w:tcPr>
          <w:p>
            <w:pPr>
              <w:spacing w:after="0" w:before="0" w:line="250" w:lineRule="auto"/>
            </w:pPr>
            <w:r>
              <w:rPr>
                <w:rFonts w:ascii="Courier New" w:hAnsi="Courier New"/>
                <w:sz w:val="20"/>
              </w:rPr>
              <w:t>settings/users</w:t>
            </w:r>
          </w:p>
        </w:tc>
        <w:tc>
          <w:tcPr>
            <w:tcW w:type="dxa" w:w="6408"/>
            <w:vAlign w:val="center"/>
            <w:shd w:fill="FFFFFF"/>
          </w:tcPr>
          <w:p>
            <w:pPr>
              <w:spacing w:after="0" w:before="0" w:line="250" w:lineRule="auto"/>
            </w:pPr>
            <w:r>
              <w:rPr>
                <w:rFonts w:ascii="Courier New" w:hAnsi="Courier New"/>
                <w:sz w:val="20"/>
              </w:rPr>
              <w:t>settings/users-roles</w:t>
              <w:br/>
              <w:t>tab users</w:t>
            </w:r>
          </w:p>
        </w:tc>
      </w:tr>
      <w:tr>
        <w:trPr>
          <w:cantSplit/>
        </w:trPr>
        <w:tc>
          <w:tcPr>
            <w:tcW w:type="dxa" w:w="3816"/>
            <w:vAlign w:val="center"/>
            <w:shd w:fill="F4F4F4"/>
          </w:tcPr>
          <w:p>
            <w:pPr>
              <w:spacing w:after="0" w:before="0" w:line="250" w:lineRule="auto"/>
            </w:pPr>
            <w:r>
              <w:rPr>
                <w:rFonts w:ascii="Courier New" w:hAnsi="Courier New"/>
                <w:sz w:val="20"/>
              </w:rPr>
              <w:t>settings/roles</w:t>
            </w:r>
          </w:p>
        </w:tc>
        <w:tc>
          <w:tcPr>
            <w:tcW w:type="dxa" w:w="6408"/>
            <w:vAlign w:val="center"/>
            <w:shd w:fill="F4F4F4"/>
          </w:tcPr>
          <w:p>
            <w:pPr>
              <w:spacing w:after="0" w:before="0" w:line="250" w:lineRule="auto"/>
            </w:pPr>
            <w:r>
              <w:rPr>
                <w:rFonts w:ascii="Courier New" w:hAnsi="Courier New"/>
                <w:sz w:val="20"/>
              </w:rPr>
              <w:t>settings/users-roles</w:t>
              <w:br/>
              <w:t>tab roles</w:t>
            </w:r>
          </w:p>
        </w:tc>
      </w:tr>
      <w:tr>
        <w:trPr>
          <w:cantSplit/>
        </w:trPr>
        <w:tc>
          <w:tcPr>
            <w:tcW w:type="dxa" w:w="3816"/>
            <w:vAlign w:val="center"/>
            <w:shd w:fill="FFFFFF"/>
          </w:tcPr>
          <w:p>
            <w:pPr>
              <w:spacing w:after="0" w:before="0" w:line="250" w:lineRule="auto"/>
            </w:pPr>
            <w:r>
              <w:rPr>
                <w:rFonts w:ascii="Courier New" w:hAnsi="Courier New"/>
                <w:sz w:val="20"/>
              </w:rPr>
              <w:t>settings/network</w:t>
            </w:r>
          </w:p>
        </w:tc>
        <w:tc>
          <w:tcPr>
            <w:tcW w:type="dxa" w:w="6408"/>
            <w:vAlign w:val="center"/>
            <w:shd w:fill="FFFFFF"/>
          </w:tcPr>
          <w:p>
            <w:pPr>
              <w:spacing w:after="0" w:before="0" w:line="250" w:lineRule="auto"/>
            </w:pPr>
            <w:r>
              <w:rPr>
                <w:rFonts w:ascii="Courier New" w:hAnsi="Courier New"/>
                <w:sz w:val="20"/>
              </w:rPr>
              <w:t>settings/system-support</w:t>
              <w:br/>
              <w:t>tab network</w:t>
            </w:r>
          </w:p>
        </w:tc>
      </w:tr>
      <w:tr>
        <w:trPr>
          <w:cantSplit/>
        </w:trPr>
        <w:tc>
          <w:tcPr>
            <w:tcW w:type="dxa" w:w="3816"/>
            <w:vAlign w:val="center"/>
            <w:shd w:fill="F4F4F4"/>
          </w:tcPr>
          <w:p>
            <w:pPr>
              <w:spacing w:after="0" w:before="0" w:line="250" w:lineRule="auto"/>
            </w:pPr>
            <w:r>
              <w:rPr>
                <w:rFonts w:ascii="Courier New" w:hAnsi="Courier New"/>
                <w:sz w:val="20"/>
              </w:rPr>
              <w:t>settings/license</w:t>
            </w:r>
          </w:p>
        </w:tc>
        <w:tc>
          <w:tcPr>
            <w:tcW w:type="dxa" w:w="6408"/>
            <w:vAlign w:val="center"/>
            <w:shd w:fill="F4F4F4"/>
          </w:tcPr>
          <w:p>
            <w:pPr>
              <w:spacing w:after="0" w:before="0" w:line="250" w:lineRule="auto"/>
            </w:pPr>
            <w:r>
              <w:rPr>
                <w:rFonts w:ascii="Courier New" w:hAnsi="Courier New"/>
                <w:sz w:val="20"/>
              </w:rPr>
              <w:t>settings/system-support</w:t>
              <w:br/>
              <w:t>tab license</w:t>
            </w:r>
          </w:p>
        </w:tc>
      </w:tr>
      <w:tr>
        <w:trPr>
          <w:cantSplit/>
        </w:trPr>
        <w:tc>
          <w:tcPr>
            <w:tcW w:type="dxa" w:w="3816"/>
            <w:vAlign w:val="center"/>
            <w:shd w:fill="FFFFFF"/>
          </w:tcPr>
          <w:p>
            <w:pPr>
              <w:spacing w:after="0" w:before="0" w:line="250" w:lineRule="auto"/>
            </w:pPr>
            <w:r>
              <w:rPr>
                <w:rFonts w:ascii="Courier New" w:hAnsi="Courier New"/>
                <w:sz w:val="20"/>
              </w:rPr>
              <w:t>settings/audit</w:t>
            </w:r>
          </w:p>
        </w:tc>
        <w:tc>
          <w:tcPr>
            <w:tcW w:type="dxa" w:w="6408"/>
            <w:vAlign w:val="center"/>
            <w:shd w:fill="FFFFFF"/>
          </w:tcPr>
          <w:p>
            <w:pPr>
              <w:spacing w:after="0" w:before="0" w:line="250" w:lineRule="auto"/>
            </w:pPr>
            <w:r>
              <w:rPr>
                <w:rFonts w:ascii="Courier New" w:hAnsi="Courier New"/>
                <w:sz w:val="20"/>
              </w:rPr>
              <w:t>settings/system-support</w:t>
              <w:br/>
              <w:t>tab audit</w:t>
            </w:r>
          </w:p>
        </w:tc>
      </w:tr>
      <w:tr>
        <w:trPr>
          <w:cantSplit/>
        </w:trPr>
        <w:tc>
          <w:tcPr>
            <w:tcW w:type="dxa" w:w="3816"/>
            <w:vAlign w:val="center"/>
            <w:shd w:fill="F4F4F4"/>
          </w:tcPr>
          <w:p>
            <w:pPr>
              <w:spacing w:after="0" w:before="0" w:line="250" w:lineRule="auto"/>
            </w:pPr>
            <w:r>
              <w:rPr>
                <w:rFonts w:ascii="Courier New" w:hAnsi="Courier New"/>
                <w:sz w:val="20"/>
              </w:rPr>
              <w:t>settings/advanced</w:t>
            </w:r>
          </w:p>
        </w:tc>
        <w:tc>
          <w:tcPr>
            <w:tcW w:type="dxa" w:w="6408"/>
            <w:vAlign w:val="center"/>
            <w:shd w:fill="F4F4F4"/>
          </w:tcPr>
          <w:p>
            <w:pPr>
              <w:spacing w:after="0" w:before="0" w:line="250" w:lineRule="auto"/>
            </w:pPr>
            <w:r>
              <w:rPr>
                <w:rFonts w:ascii="Courier New" w:hAnsi="Courier New"/>
                <w:sz w:val="20"/>
              </w:rPr>
              <w:t>settings/system-support</w:t>
              <w:br/>
              <w:t>tab advanced</w:t>
            </w:r>
          </w:p>
        </w:tc>
      </w:tr>
    </w:tbl>
    <w:p>
      <w:pPr>
        <w:spacing w:after="40" w:before="0" w:line="120" w:lineRule="auto"/>
      </w:pPr>
      <w:r>
        <w:rPr>
          <w:sz w:val="6"/>
        </w:rPr>
      </w:r>
    </w:p>
    <w:p>
      <w:pPr>
        <w:pStyle w:val="Heading2"/>
      </w:pPr>
      <w:r>
        <w:t>Secondary tab selection</w:t>
      </w:r>
    </w:p>
    <w:p>
      <w:r>
        <w:t>Reuse SectionTabs and its existing keyboard and persistence behavior. When an alias supplies a tab, that selection takes precedence over remembered state. Ordinary navigation may restore a remembered permitted tab; otherwise select the first permitted tab.</w:t>
      </w:r>
    </w:p>
    <w:p>
      <w:r>
        <w:t>Validate the selected tab on direct navigation as well as in the tab list. Users permitted to see Network must be able to enter System and support without acquiring access to Plan and support, Audit, or Advanced. Apply the same rule to Users and roles and each Report library family.</w:t>
      </w:r>
    </w:p>
    <w:p>
      <w:r>
        <w:rPr>
          <w:color w:val="464646"/>
          <w:sz w:val="18"/>
        </w:rPr>
        <w:t>Code references: web/src/Settings.jsx:15; web/src/SectionTabs.jsx:5, 41; web/src/theme.js:345</w:t>
      </w:r>
    </w:p>
    <w:p>
      <w:r>
        <w:br w:type="page"/>
      </w:r>
    </w:p>
    <w:p>
      <w:pPr>
        <w:pStyle w:val="Heading1"/>
      </w:pPr>
      <w:r>
        <w:t>Deep links and implementation tasks</w:t>
      </w:r>
    </w:p>
    <w:p>
      <w:r>
        <w:t>Keep the existing hash syntax, including encoded entity identifiers and existing list state. Update the route resolver to select the new destination while leaving entity parsing and detail renderers compatible.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4464"/>
        <w:gridCol w:w="5760"/>
      </w:tblGrid>
      <w:tr>
        <w:trPr>
          <w:cantSplit/>
          <w:tblHeader/>
        </w:trPr>
        <w:tc>
          <w:tcPr>
            <w:tcW w:type="dxa" w:w="4464"/>
            <w:vAlign w:val="center"/>
            <w:shd w:fill="363636"/>
          </w:tcPr>
          <w:p>
            <w:pPr>
              <w:spacing w:after="0" w:before="0" w:line="250" w:lineRule="auto"/>
            </w:pPr>
            <w:r>
              <w:rPr>
                <w:rFonts w:ascii="Arial" w:hAnsi="Arial"/>
                <w:b/>
                <w:color w:val="FFFFFF"/>
                <w:sz w:val="19"/>
              </w:rPr>
              <w:t>Existing hash</w:t>
            </w:r>
          </w:p>
        </w:tc>
        <w:tc>
          <w:tcPr>
            <w:tcW w:type="dxa" w:w="5760"/>
            <w:vAlign w:val="center"/>
            <w:shd w:fill="363636"/>
          </w:tcPr>
          <w:p>
            <w:pPr>
              <w:spacing w:after="0" w:before="0" w:line="250" w:lineRule="auto"/>
            </w:pPr>
            <w:r>
              <w:rPr>
                <w:rFonts w:ascii="Arial" w:hAnsi="Arial"/>
                <w:b/>
                <w:color w:val="FFFFFF"/>
                <w:sz w:val="19"/>
              </w:rPr>
              <w:t>Destination</w:t>
            </w:r>
          </w:p>
        </w:tc>
      </w:tr>
      <w:tr>
        <w:trPr>
          <w:cantSplit/>
        </w:trPr>
        <w:tc>
          <w:tcPr>
            <w:tcW w:type="dxa" w:w="4464"/>
            <w:vAlign w:val="center"/>
            <w:shd w:fill="FFFFFF"/>
          </w:tcPr>
          <w:p>
            <w:pPr>
              <w:spacing w:after="0" w:before="0" w:line="250" w:lineRule="auto"/>
            </w:pPr>
            <w:r>
              <w:rPr>
                <w:rFonts w:ascii="Courier New" w:hAnsi="Courier New"/>
                <w:sz w:val="19"/>
              </w:rPr>
              <w:t>customer/*; list/customers/*</w:t>
            </w:r>
          </w:p>
        </w:tc>
        <w:tc>
          <w:tcPr>
            <w:tcW w:type="dxa" w:w="5760"/>
            <w:vAlign w:val="center"/>
            <w:shd w:fill="FFFFFF"/>
          </w:tcPr>
          <w:p>
            <w:pPr>
              <w:spacing w:after="0" w:before="0" w:line="250" w:lineRule="auto"/>
            </w:pPr>
            <w:r>
              <w:rPr>
                <w:rFonts w:ascii="Courier New" w:hAnsi="Courier New"/>
                <w:sz w:val="19"/>
              </w:rPr>
              <w:t>customers/list</w:t>
            </w:r>
          </w:p>
        </w:tc>
      </w:tr>
      <w:tr>
        <w:trPr>
          <w:cantSplit/>
        </w:trPr>
        <w:tc>
          <w:tcPr>
            <w:tcW w:type="dxa" w:w="4464"/>
            <w:vAlign w:val="center"/>
            <w:shd w:fill="F4F4F4"/>
          </w:tcPr>
          <w:p>
            <w:pPr>
              <w:spacing w:after="0" w:before="0" w:line="250" w:lineRule="auto"/>
            </w:pPr>
            <w:r>
              <w:rPr>
                <w:rFonts w:ascii="Courier New" w:hAnsi="Courier New"/>
                <w:sz w:val="19"/>
              </w:rPr>
              <w:t>group/*</w:t>
            </w:r>
          </w:p>
        </w:tc>
        <w:tc>
          <w:tcPr>
            <w:tcW w:type="dxa" w:w="5760"/>
            <w:vAlign w:val="center"/>
            <w:shd w:fill="F4F4F4"/>
          </w:tcPr>
          <w:p>
            <w:pPr>
              <w:spacing w:after="0" w:before="0" w:line="250" w:lineRule="auto"/>
            </w:pPr>
            <w:r>
              <w:rPr>
                <w:rFonts w:ascii="Courier New" w:hAnsi="Courier New"/>
                <w:sz w:val="19"/>
              </w:rPr>
              <w:t>customers/groups</w:t>
            </w:r>
          </w:p>
        </w:tc>
      </w:tr>
      <w:tr>
        <w:trPr>
          <w:cantSplit/>
        </w:trPr>
        <w:tc>
          <w:tcPr>
            <w:tcW w:type="dxa" w:w="4464"/>
            <w:vAlign w:val="center"/>
            <w:shd w:fill="FFFFFF"/>
          </w:tcPr>
          <w:p>
            <w:pPr>
              <w:spacing w:after="0" w:before="0" w:line="250" w:lineRule="auto"/>
            </w:pPr>
            <w:r>
              <w:rPr>
                <w:rFonts w:ascii="Courier New" w:hAnsi="Courier New"/>
                <w:sz w:val="19"/>
              </w:rPr>
              <w:t>rep/*</w:t>
            </w:r>
          </w:p>
        </w:tc>
        <w:tc>
          <w:tcPr>
            <w:tcW w:type="dxa" w:w="5760"/>
            <w:vAlign w:val="center"/>
            <w:shd w:fill="FFFFFF"/>
          </w:tcPr>
          <w:p>
            <w:pPr>
              <w:spacing w:after="0" w:before="0" w:line="250" w:lineRule="auto"/>
            </w:pPr>
            <w:r>
              <w:rPr>
                <w:rFonts w:ascii="Courier New" w:hAnsi="Courier New"/>
                <w:sz w:val="19"/>
              </w:rPr>
              <w:t>sales/reps</w:t>
            </w:r>
          </w:p>
        </w:tc>
      </w:tr>
      <w:tr>
        <w:trPr>
          <w:cantSplit/>
        </w:trPr>
        <w:tc>
          <w:tcPr>
            <w:tcW w:type="dxa" w:w="4464"/>
            <w:vAlign w:val="center"/>
            <w:shd w:fill="F4F4F4"/>
          </w:tcPr>
          <w:p>
            <w:pPr>
              <w:spacing w:after="0" w:before="0" w:line="250" w:lineRule="auto"/>
            </w:pPr>
            <w:r>
              <w:rPr>
                <w:rFonts w:ascii="Courier New" w:hAnsi="Courier New"/>
                <w:sz w:val="19"/>
              </w:rPr>
              <w:t>invoice/*</w:t>
            </w:r>
          </w:p>
        </w:tc>
        <w:tc>
          <w:tcPr>
            <w:tcW w:type="dxa" w:w="5760"/>
            <w:vAlign w:val="center"/>
            <w:shd w:fill="F4F4F4"/>
          </w:tcPr>
          <w:p>
            <w:pPr>
              <w:spacing w:after="0" w:before="0" w:line="250" w:lineRule="auto"/>
            </w:pPr>
            <w:r>
              <w:rPr>
                <w:rFonts w:ascii="Courier New" w:hAnsi="Courier New"/>
                <w:sz w:val="19"/>
              </w:rPr>
              <w:t>sales/invoices</w:t>
            </w:r>
          </w:p>
        </w:tc>
      </w:tr>
      <w:tr>
        <w:trPr>
          <w:cantSplit/>
        </w:trPr>
        <w:tc>
          <w:tcPr>
            <w:tcW w:type="dxa" w:w="4464"/>
            <w:vAlign w:val="center"/>
            <w:shd w:fill="FFFFFF"/>
          </w:tcPr>
          <w:p>
            <w:pPr>
              <w:spacing w:after="0" w:before="0" w:line="250" w:lineRule="auto"/>
            </w:pPr>
            <w:r>
              <w:rPr>
                <w:rFonts w:ascii="Courier New" w:hAnsi="Courier New"/>
                <w:sz w:val="19"/>
              </w:rPr>
              <w:t>item/*</w:t>
            </w:r>
          </w:p>
        </w:tc>
        <w:tc>
          <w:tcPr>
            <w:tcW w:type="dxa" w:w="5760"/>
            <w:vAlign w:val="center"/>
            <w:shd w:fill="FFFFFF"/>
          </w:tcPr>
          <w:p>
            <w:pPr>
              <w:spacing w:after="0" w:before="0" w:line="250" w:lineRule="auto"/>
            </w:pPr>
            <w:r>
              <w:rPr>
                <w:rFonts w:ascii="Courier New" w:hAnsi="Courier New"/>
                <w:sz w:val="19"/>
              </w:rPr>
              <w:t>inventory/item-profiles</w:t>
            </w:r>
          </w:p>
        </w:tc>
      </w:tr>
      <w:tr>
        <w:trPr>
          <w:cantSplit/>
        </w:trPr>
        <w:tc>
          <w:tcPr>
            <w:tcW w:type="dxa" w:w="4464"/>
            <w:vAlign w:val="center"/>
            <w:shd w:fill="F4F4F4"/>
          </w:tcPr>
          <w:p>
            <w:pPr>
              <w:spacing w:after="0" w:before="0" w:line="250" w:lineRule="auto"/>
            </w:pPr>
            <w:r>
              <w:rPr>
                <w:rFonts w:ascii="Courier New" w:hAnsi="Courier New"/>
                <w:sz w:val="19"/>
              </w:rPr>
              <w:t>category/*</w:t>
            </w:r>
          </w:p>
        </w:tc>
        <w:tc>
          <w:tcPr>
            <w:tcW w:type="dxa" w:w="5760"/>
            <w:vAlign w:val="center"/>
            <w:shd w:fill="F4F4F4"/>
          </w:tcPr>
          <w:p>
            <w:pPr>
              <w:spacing w:after="0" w:before="0" w:line="250" w:lineRule="auto"/>
            </w:pPr>
            <w:r>
              <w:rPr>
                <w:rFonts w:ascii="Courier New" w:hAnsi="Courier New"/>
                <w:sz w:val="19"/>
              </w:rPr>
              <w:t>inventory/categories</w:t>
            </w:r>
          </w:p>
        </w:tc>
      </w:tr>
      <w:tr>
        <w:trPr>
          <w:cantSplit/>
        </w:trPr>
        <w:tc>
          <w:tcPr>
            <w:tcW w:type="dxa" w:w="4464"/>
            <w:vAlign w:val="center"/>
            <w:shd w:fill="FFFFFF"/>
          </w:tcPr>
          <w:p>
            <w:pPr>
              <w:spacing w:after="0" w:before="0" w:line="250" w:lineRule="auto"/>
            </w:pPr>
            <w:r>
              <w:rPr>
                <w:rFonts w:ascii="Courier New" w:hAnsi="Courier New"/>
                <w:sz w:val="19"/>
              </w:rPr>
              <w:t>item-group/*</w:t>
            </w:r>
          </w:p>
        </w:tc>
        <w:tc>
          <w:tcPr>
            <w:tcW w:type="dxa" w:w="5760"/>
            <w:vAlign w:val="center"/>
            <w:shd w:fill="FFFFFF"/>
          </w:tcPr>
          <w:p>
            <w:pPr>
              <w:spacing w:after="0" w:before="0" w:line="250" w:lineRule="auto"/>
            </w:pPr>
            <w:r>
              <w:rPr>
                <w:rFonts w:ascii="Courier New" w:hAnsi="Courier New"/>
                <w:sz w:val="19"/>
              </w:rPr>
              <w:t>inventory/item-groups</w:t>
            </w:r>
          </w:p>
        </w:tc>
      </w:tr>
      <w:tr>
        <w:trPr>
          <w:cantSplit/>
        </w:trPr>
        <w:tc>
          <w:tcPr>
            <w:tcW w:type="dxa" w:w="4464"/>
            <w:vAlign w:val="center"/>
            <w:shd w:fill="F4F4F4"/>
          </w:tcPr>
          <w:p>
            <w:pPr>
              <w:spacing w:after="0" w:before="0" w:line="250" w:lineRule="auto"/>
            </w:pPr>
            <w:r>
              <w:rPr>
                <w:rFonts w:ascii="Courier New" w:hAnsi="Courier New"/>
                <w:sz w:val="19"/>
              </w:rPr>
              <w:t>brand/*</w:t>
            </w:r>
          </w:p>
        </w:tc>
        <w:tc>
          <w:tcPr>
            <w:tcW w:type="dxa" w:w="5760"/>
            <w:vAlign w:val="center"/>
            <w:shd w:fill="F4F4F4"/>
          </w:tcPr>
          <w:p>
            <w:pPr>
              <w:spacing w:after="0" w:before="0" w:line="250" w:lineRule="auto"/>
            </w:pPr>
            <w:r>
              <w:rPr>
                <w:rFonts w:ascii="Courier New" w:hAnsi="Courier New"/>
                <w:sz w:val="19"/>
              </w:rPr>
              <w:t>inventory/brands</w:t>
            </w:r>
          </w:p>
        </w:tc>
      </w:tr>
      <w:tr>
        <w:trPr>
          <w:cantSplit/>
        </w:trPr>
        <w:tc>
          <w:tcPr>
            <w:tcW w:type="dxa" w:w="4464"/>
            <w:vAlign w:val="center"/>
            <w:shd w:fill="FFFFFF"/>
          </w:tcPr>
          <w:p>
            <w:pPr>
              <w:spacing w:after="0" w:before="0" w:line="250" w:lineRule="auto"/>
            </w:pPr>
            <w:r>
              <w:rPr>
                <w:rFonts w:ascii="Courier New" w:hAnsi="Courier New"/>
                <w:sz w:val="19"/>
              </w:rPr>
              <w:t>supplier/*</w:t>
            </w:r>
          </w:p>
        </w:tc>
        <w:tc>
          <w:tcPr>
            <w:tcW w:type="dxa" w:w="5760"/>
            <w:vAlign w:val="center"/>
            <w:shd w:fill="FFFFFF"/>
          </w:tcPr>
          <w:p>
            <w:pPr>
              <w:spacing w:after="0" w:before="0" w:line="250" w:lineRule="auto"/>
            </w:pPr>
            <w:r>
              <w:rPr>
                <w:rFonts w:ascii="Courier New" w:hAnsi="Courier New"/>
                <w:sz w:val="19"/>
              </w:rPr>
              <w:t>inventory/suppliers</w:t>
            </w:r>
          </w:p>
        </w:tc>
      </w:tr>
      <w:tr>
        <w:trPr>
          <w:cantSplit/>
        </w:trPr>
        <w:tc>
          <w:tcPr>
            <w:tcW w:type="dxa" w:w="4464"/>
            <w:vAlign w:val="center"/>
            <w:shd w:fill="F4F4F4"/>
          </w:tcPr>
          <w:p>
            <w:pPr>
              <w:spacing w:after="0" w:before="0" w:line="250" w:lineRule="auto"/>
            </w:pPr>
            <w:r>
              <w:rPr>
                <w:rFonts w:ascii="Courier New" w:hAnsi="Courier New"/>
                <w:sz w:val="19"/>
              </w:rPr>
              <w:t>list/stock/*</w:t>
            </w:r>
          </w:p>
        </w:tc>
        <w:tc>
          <w:tcPr>
            <w:tcW w:type="dxa" w:w="5760"/>
            <w:vAlign w:val="center"/>
            <w:shd w:fill="F4F4F4"/>
          </w:tcPr>
          <w:p>
            <w:pPr>
              <w:spacing w:after="0" w:before="0" w:line="250" w:lineRule="auto"/>
            </w:pPr>
            <w:r>
              <w:rPr>
                <w:rFonts w:ascii="Courier New" w:hAnsi="Courier New"/>
                <w:sz w:val="19"/>
              </w:rPr>
              <w:t>inventory/stock</w:t>
            </w:r>
          </w:p>
        </w:tc>
      </w:tr>
      <w:tr>
        <w:trPr>
          <w:cantSplit/>
        </w:trPr>
        <w:tc>
          <w:tcPr>
            <w:tcW w:type="dxa" w:w="4464"/>
            <w:vAlign w:val="center"/>
            <w:shd w:fill="FFFFFF"/>
          </w:tcPr>
          <w:p>
            <w:pPr>
              <w:spacing w:after="0" w:before="0" w:line="250" w:lineRule="auto"/>
            </w:pPr>
            <w:r>
              <w:rPr>
                <w:rFonts w:ascii="Courier New" w:hAnsi="Courier New"/>
                <w:sz w:val="19"/>
              </w:rPr>
              <w:t>list/arr*</w:t>
            </w:r>
          </w:p>
        </w:tc>
        <w:tc>
          <w:tcPr>
            <w:tcW w:type="dxa" w:w="5760"/>
            <w:vAlign w:val="center"/>
            <w:shd w:fill="FFFFFF"/>
          </w:tcPr>
          <w:p>
            <w:pPr>
              <w:spacing w:after="0" w:before="0" w:line="250" w:lineRule="auto"/>
            </w:pPr>
            <w:r>
              <w:rPr>
                <w:rFonts w:ascii="Courier New" w:hAnsi="Courier New"/>
                <w:sz w:val="19"/>
              </w:rPr>
              <w:t>finance/outstanding</w:t>
            </w:r>
          </w:p>
        </w:tc>
      </w:tr>
    </w:tbl>
    <w:p>
      <w:pPr>
        <w:spacing w:after="40" w:before="0" w:line="120" w:lineRule="auto"/>
      </w:pPr>
      <w:r>
        <w:rPr>
          <w:sz w:val="6"/>
        </w:rPr>
      </w:r>
    </w:p>
    <w:p>
      <w:pPr>
        <w:pStyle w:val="Heading2"/>
      </w:pPr>
      <w:r>
        <w:t>Implementation sequence</w:t>
      </w:r>
    </w:p>
    <w:p>
      <w:pPr>
        <w:pStyle w:val="ListBullet"/>
      </w:pPr>
      <w:r>
        <w:rPr>
          <w:b/>
        </w:rPr>
        <w:t xml:space="preserve">Define routes and aliases. </w:t>
      </w:r>
      <w:r>
        <w:t>Introduce a flat route registry, primary navigation groups, and a compatibility resolver in theme.js. Store rendering metadata, existing permission checks, secondary tabs, and readiness rules explicitly.</w:t>
      </w:r>
    </w:p>
    <w:p>
      <w:pPr>
        <w:pStyle w:val="ListBullet"/>
      </w:pPr>
      <w:r>
        <w:rPr>
          <w:b/>
        </w:rPr>
        <w:t xml:space="preserve">Update the app shell. </w:t>
      </w:r>
      <w:r>
        <w:t>Resolve aliases in go and routeFromHash. Make group headings toggle only. Update active state, breadcrumbs, document titles, default routes, and sidebar behavior. Keep report-run state and snapshot loading connected to page kind.</w:t>
      </w:r>
    </w:p>
    <w:p>
      <w:pPr>
        <w:pStyle w:val="ListBullet"/>
      </w:pPr>
      <w:r>
        <w:rPr>
          <w:b/>
        </w:rPr>
        <w:t xml:space="preserve">Add grouped pages. </w:t>
      </w:r>
      <w:r>
        <w:t>Compose Report library and grouped Settings pages using SectionTabs and existing renderers. Apply per-tab permission and availability checks, including legacy tab selection.</w:t>
      </w:r>
    </w:p>
    <w:p>
      <w:pPr>
        <w:pStyle w:val="ListBullet"/>
      </w:pPr>
      <w:r>
        <w:rPr>
          <w:b/>
        </w:rPr>
        <w:t xml:space="preserve">Check existing callers. </w:t>
      </w:r>
      <w:r>
        <w:t>Preserve Dashboard, Business, Create, Import, SetupWizard, and server-provided navigation arrays through aliases. Update callers only where needed after compatibility is established.</w:t>
      </w:r>
    </w:p>
    <w:p>
      <w:pPr>
        <w:pStyle w:val="Heading2"/>
      </w:pPr>
      <w:r>
        <w:t>Files affected</w:t>
      </w:r>
    </w:p>
    <w:p>
      <w:r>
        <w:t>Core changes: web/src/theme.js, web/src/App.jsx, and web/src/styles.css. Grouped pages: web/src/Reports.jsx and web/src/Settings.jsx; reuse web/src/SectionTabs.jsx. Verify callers in Dashboard.jsx, Business.jsx, Create.jsx, Import.jsx, SetupWizard.jsx, and server/business360.py. Backend authorization and calculation changes are not required for the menu reorganization.</w:t>
      </w:r>
    </w:p>
    <w:p>
      <w:r>
        <w:rPr>
          <w:color w:val="464646"/>
          <w:sz w:val="18"/>
        </w:rPr>
        <w:t>Code references: web/src/App.jsx:78, 267; server/business360.py:571</w:t>
      </w:r>
    </w:p>
    <w:p>
      <w:r>
        <w:br w:type="page"/>
      </w:r>
    </w:p>
    <w:p>
      <w:pPr>
        <w:pStyle w:val="Heading1"/>
      </w:pPr>
      <w:r>
        <w:t>Acceptance criteria and optional additions</w:t>
      </w:r>
    </w:p>
    <w:p>
      <w:r>
        <w:t>The navigation implementation is complete when the following checks pass for the affected roles and representative report states.</w:t>
      </w:r>
    </w:p>
    <w:p>
      <w:pPr>
        <w:pStyle w:val="ListNumber"/>
        <w:spacing w:after="100"/>
      </w:pPr>
      <w:r>
        <w:t>Every current sidebar route maps to an intended destination. Existing onGo calls and server-provided navigation arrays continue to work.</w:t>
      </w:r>
    </w:p>
    <w:p>
      <w:pPr>
        <w:pStyle w:val="ListNumber"/>
        <w:spacing w:after="100"/>
      </w:pPr>
      <w:r>
        <w:t>Primary headings expand and collapse without navigating, resetting filters, or changing the selected snapshot. Active destinations, breadcrumbs, and document titles match the visible page.</w:t>
      </w:r>
    </w:p>
    <w:p>
      <w:pPr>
        <w:pStyle w:val="ListNumber"/>
        <w:spacing w:after="100"/>
      </w:pPr>
      <w:r>
        <w:t>Settings and Report library groups appear when at least one child is permitted. Tabs, direct navigation, remembered selections, and defaults all enforce the existing child permissions.</w:t>
      </w:r>
    </w:p>
    <w:p>
      <w:pPr>
        <w:pStyle w:val="ListNumber"/>
        <w:spacing w:after="100"/>
      </w:pPr>
      <w:r>
        <w:t>Legacy report-family and Settings routes select their exact secondary tab. Unauthorized or unavailable selections show a valid permitted state rather than a blank page.</w:t>
      </w:r>
    </w:p>
    <w:p>
      <w:pPr>
        <w:pStyle w:val="ListNumber"/>
        <w:spacing w:after="100"/>
      </w:pPr>
      <w:r>
        <w:t>Existing entity and list hashes open the correct page. Customer, group, rep, invoice, item, and dimension drill-downs retain their return navigation and list context.</w:t>
      </w:r>
    </w:p>
    <w:p>
      <w:pPr>
        <w:pStyle w:val="ListNumber"/>
        <w:spacing w:after="100"/>
      </w:pPr>
      <w:r>
        <w:t>Today works before report creation. Generated report families, Profit eligibility, other analytics readiness, and snapshot loading preserve their existing requirements.</w:t>
      </w:r>
    </w:p>
    <w:p>
      <w:pPr>
        <w:pStyle w:val="ListNumber"/>
        <w:spacing w:after="100"/>
      </w:pPr>
      <w:r>
        <w:t>The workflows listed under Embedded features to preserve remain reachable and functional. Actions and report approvals retain their management permissions.</w:t>
      </w:r>
    </w:p>
    <w:p>
      <w:pPr>
        <w:pStyle w:val="ListNumber"/>
        <w:spacing w:after="100"/>
      </w:pPr>
      <w:r>
        <w:t>Data quality analytics and Data issue reports remain distinct. PDF and Excel exports preserve report-level filtering, selection, progress, and downloads.</w:t>
      </w:r>
    </w:p>
    <w:p>
      <w:pPr>
        <w:pStyle w:val="ListNumber"/>
        <w:spacing w:after="100"/>
      </w:pPr>
      <w:r>
        <w:t>Import, reconciliation, onboarding, sample company access, report progress, snapshot selection, login, forced password change, and logout remain functional.</w:t>
      </w:r>
    </w:p>
    <w:p>
      <w:pPr>
        <w:pStyle w:val="ListNumber"/>
        <w:spacing w:after="100"/>
      </w:pPr>
      <w:r>
        <w:t>Desktop and phone checks cover collapsed groups, active state, keyboard access, secondary tabs, long labels, and overflow. Add focused route and permission tests where the shared resolver or grouped access behavior changes.</w:t>
      </w:r>
    </w:p>
    <w:p>
      <w:pPr>
        <w:pStyle w:val="Heading2"/>
      </w:pPr>
      <w:r>
        <w:t>Optional additions outside the navigation change</w:t>
      </w:r>
    </w:p>
    <w:p>
      <w:r>
        <w:t>File library: web/src/Files.jsx implements upload, download, and row inspection but is not mounted by App.jsx. A Data entry would require confirming the intended permission and supported workflow before connecting it.</w:t>
      </w:r>
    </w:p>
    <w:p>
      <w:r>
        <w:t>Backup and restore: server/routers/hosted.py exposes backend endpoints, while the current frontend has no matching navigation entry. A System and support interface would be a separate feature with its own access rules, restore interaction, and verification.</w:t>
      </w:r>
    </w:p>
    <w:p>
      <w:pPr>
        <w:pStyle w:val="Heading2"/>
      </w:pPr>
      <w:r>
        <w:t>Verification references</w:t>
      </w:r>
    </w:p>
    <w:p>
      <w:r>
        <w:t>Frontend permission and navigation definitions: web/src/theme.js. App routing and shell: web/src/App.jsx. Server access rules: server/auth.py and server/routers/analytics.py. Existing report-access checks: tests/test_report_access.py. The document specifies verification work for implementation; it does not record a completed implementation or test run.</w:t>
      </w:r>
    </w:p>
    <w:sectPr w:rsidR="00FC693F" w:rsidRPr="0006063C" w:rsidSect="00034616">
      <w:footerReference w:type="default" r:id="rId9"/>
      <w:pgSz w:w="12240" w:h="15840"/>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Vay navigation brief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59"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59"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Vay Reports Navigation Implementation Brief</dc:title>
  <dc:subject>Navigation reorganization and feature preservation</dc:subject>
  <dc:creator>Vay</dc:creator>
  <cp:keywords>navigation, routes, permissions, feature coverage, acceptance criteria</cp:keywords>
  <dc:description>generated by python-docx</dc:description>
  <cp:lastModifiedBy/>
  <cp:revision>1</cp:revision>
  <dcterms:created xsi:type="dcterms:W3CDTF">2013-12-23T23:15:00Z</dcterms:created>
  <dcterms:modified xsi:type="dcterms:W3CDTF">2013-12-23T23:15:00Z</dcterms:modified>
  <cp:category/>
</cp:coreProperties>
</file>