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41BD3" w14:textId="77777777" w:rsidR="005871F9" w:rsidRPr="005871F9" w:rsidRDefault="005871F9" w:rsidP="005871F9">
      <w:pPr>
        <w:pStyle w:val="Titre1"/>
        <w:jc w:val="right"/>
        <w:rPr>
          <w:rFonts w:ascii="Arial" w:hAnsi="Arial" w:cs="Arial"/>
          <w:sz w:val="22"/>
          <w:szCs w:val="22"/>
        </w:rPr>
      </w:pPr>
      <w:r w:rsidRPr="005871F9">
        <w:rPr>
          <w:rFonts w:ascii="Arial" w:hAnsi="Arial" w:cs="Arial"/>
          <w:sz w:val="22"/>
          <w:szCs w:val="22"/>
        </w:rPr>
        <w:t>Note méthodologique</w:t>
      </w:r>
    </w:p>
    <w:p w14:paraId="385953FA" w14:textId="77777777" w:rsidR="005871F9" w:rsidRPr="005871F9" w:rsidRDefault="005871F9" w:rsidP="005871F9">
      <w:pPr>
        <w:pStyle w:val="Titre1"/>
        <w:pBdr>
          <w:top w:val="single" w:sz="4" w:space="1" w:color="auto"/>
          <w:bottom w:val="single" w:sz="4" w:space="1" w:color="auto"/>
        </w:pBdr>
        <w:spacing w:before="240" w:beforeAutospacing="0" w:after="240" w:afterAutospacing="0"/>
        <w:jc w:val="center"/>
        <w:rPr>
          <w:rFonts w:ascii="Arial" w:hAnsi="Arial" w:cs="Arial"/>
          <w:sz w:val="24"/>
          <w:szCs w:val="24"/>
        </w:rPr>
      </w:pPr>
    </w:p>
    <w:p w14:paraId="374C7D09" w14:textId="1FC7C7FF" w:rsidR="005871F9" w:rsidRPr="00111E62" w:rsidRDefault="005871F9" w:rsidP="005871F9">
      <w:pPr>
        <w:pStyle w:val="Titre1"/>
        <w:pBdr>
          <w:top w:val="single" w:sz="4" w:space="1" w:color="auto"/>
          <w:bottom w:val="single" w:sz="4" w:space="1" w:color="auto"/>
        </w:pBdr>
        <w:spacing w:before="240" w:beforeAutospacing="0" w:after="240" w:afterAutospacing="0"/>
        <w:jc w:val="center"/>
        <w:rPr>
          <w:rFonts w:ascii="Arial" w:hAnsi="Arial" w:cs="Arial"/>
          <w:sz w:val="28"/>
          <w:szCs w:val="28"/>
        </w:rPr>
      </w:pPr>
      <w:r w:rsidRPr="005871F9">
        <w:rPr>
          <w:rFonts w:ascii="Arial" w:hAnsi="Arial" w:cs="Arial"/>
          <w:sz w:val="28"/>
          <w:szCs w:val="28"/>
        </w:rPr>
        <w:t>Suivi</w:t>
      </w:r>
      <w:r w:rsidRPr="00111E62">
        <w:rPr>
          <w:rFonts w:ascii="Arial" w:hAnsi="Arial" w:cs="Arial"/>
          <w:sz w:val="28"/>
          <w:szCs w:val="28"/>
        </w:rPr>
        <w:t xml:space="preserve"> et documentation des </w:t>
      </w:r>
      <w:r w:rsidRPr="005871F9">
        <w:rPr>
          <w:rFonts w:ascii="Arial" w:hAnsi="Arial" w:cs="Arial"/>
          <w:sz w:val="28"/>
          <w:szCs w:val="28"/>
        </w:rPr>
        <w:t>résultats de l’emploi des jeunes dans les projets</w:t>
      </w:r>
    </w:p>
    <w:p w14:paraId="1355BD58" w14:textId="77777777" w:rsidR="005871F9" w:rsidRPr="005871F9" w:rsidRDefault="005871F9" w:rsidP="005871F9">
      <w:pPr>
        <w:pStyle w:val="Titre1"/>
        <w:pBdr>
          <w:top w:val="single" w:sz="4" w:space="1" w:color="auto"/>
          <w:bottom w:val="single" w:sz="4" w:space="1" w:color="auto"/>
        </w:pBdr>
        <w:spacing w:before="240" w:beforeAutospacing="0" w:after="240" w:afterAutospacing="0"/>
        <w:jc w:val="center"/>
        <w:rPr>
          <w:rFonts w:ascii="Arial" w:hAnsi="Arial" w:cs="Arial"/>
          <w:sz w:val="24"/>
          <w:szCs w:val="24"/>
        </w:rPr>
      </w:pPr>
    </w:p>
    <w:p w14:paraId="756C7C0B"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La présente note a pour objet de proposer une approche opérationnelle pour conduire, d’ici juin 2026, la collecte et la documentation des données relatives aux indicateurs du cadre commun de suivi des projets de l’OIF sur la thématique du renforcement de l’emploi des jeunes.</w:t>
      </w:r>
    </w:p>
    <w:p w14:paraId="5DDFB425" w14:textId="77777777" w:rsidR="00111E62" w:rsidRPr="00111E62" w:rsidRDefault="00111E62" w:rsidP="00F46F3D">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Elle répond à un double besoin. D’une part, il s’agit de </w:t>
      </w:r>
      <w:r w:rsidRPr="00111E62">
        <w:rPr>
          <w:rFonts w:ascii="Arial" w:eastAsia="Times New Roman" w:hAnsi="Arial" w:cs="Arial"/>
          <w:b/>
          <w:bCs/>
          <w:lang w:eastAsia="fr-FR"/>
        </w:rPr>
        <w:t>constituer une base de sondage robuste</w:t>
      </w:r>
      <w:r w:rsidRPr="00111E62">
        <w:rPr>
          <w:rFonts w:ascii="Arial" w:eastAsia="Times New Roman" w:hAnsi="Arial" w:cs="Arial"/>
          <w:lang w:eastAsia="fr-FR"/>
        </w:rPr>
        <w:t xml:space="preserve"> à partir des indicateurs </w:t>
      </w:r>
      <w:r w:rsidRPr="00111E62">
        <w:rPr>
          <w:rFonts w:ascii="Arial" w:eastAsia="Times New Roman" w:hAnsi="Arial" w:cs="Arial"/>
          <w:b/>
          <w:bCs/>
          <w:lang w:eastAsia="fr-FR"/>
        </w:rPr>
        <w:t>A1. Nombre de jeunes formés</w:t>
      </w:r>
      <w:r w:rsidRPr="00111E62">
        <w:rPr>
          <w:rFonts w:ascii="Arial" w:eastAsia="Times New Roman" w:hAnsi="Arial" w:cs="Arial"/>
          <w:lang w:eastAsia="fr-FR"/>
        </w:rPr>
        <w:t xml:space="preserve"> et </w:t>
      </w:r>
      <w:r w:rsidRPr="00111E62">
        <w:rPr>
          <w:rFonts w:ascii="Arial" w:eastAsia="Times New Roman" w:hAnsi="Arial" w:cs="Arial"/>
          <w:b/>
          <w:bCs/>
          <w:lang w:eastAsia="fr-FR"/>
        </w:rPr>
        <w:t>B1. Activités économiques appuyées</w:t>
      </w:r>
      <w:r w:rsidRPr="00111E62">
        <w:rPr>
          <w:rFonts w:ascii="Arial" w:eastAsia="Times New Roman" w:hAnsi="Arial" w:cs="Arial"/>
          <w:lang w:eastAsia="fr-FR"/>
        </w:rPr>
        <w:t xml:space="preserve">, en exploitant les données issues de la réalisation des projets. D’autre part, il s’agit de </w:t>
      </w:r>
      <w:r w:rsidRPr="00111E62">
        <w:rPr>
          <w:rFonts w:ascii="Arial" w:eastAsia="Times New Roman" w:hAnsi="Arial" w:cs="Arial"/>
          <w:b/>
          <w:bCs/>
          <w:lang w:eastAsia="fr-FR"/>
        </w:rPr>
        <w:t>préparer la documentation des autres indicateurs</w:t>
      </w:r>
      <w:r w:rsidRPr="00111E62">
        <w:rPr>
          <w:rFonts w:ascii="Arial" w:eastAsia="Times New Roman" w:hAnsi="Arial" w:cs="Arial"/>
          <w:lang w:eastAsia="fr-FR"/>
        </w:rPr>
        <w:t xml:space="preserve"> relevant des différentes catégories du cadre de mesure, afin de disposer, à l’échéance de juin, d’un dispositif de suivi à la fois cohérent, exploitable et suffisamment documenté pour permettre une première consolidation des résultats.</w:t>
      </w:r>
    </w:p>
    <w:p w14:paraId="187B65E4" w14:textId="1301C028" w:rsidR="00111E62" w:rsidRPr="00111E62" w:rsidRDefault="00BA2282" w:rsidP="00111E62">
      <w:pPr>
        <w:spacing w:before="100" w:beforeAutospacing="1" w:after="100" w:afterAutospacing="1" w:line="240" w:lineRule="auto"/>
        <w:outlineLvl w:val="1"/>
        <w:rPr>
          <w:rFonts w:ascii="Arial" w:eastAsia="Times New Roman" w:hAnsi="Arial" w:cs="Arial"/>
          <w:b/>
          <w:bCs/>
          <w:lang w:eastAsia="fr-FR"/>
        </w:rPr>
      </w:pPr>
      <w:r>
        <w:rPr>
          <w:rFonts w:ascii="Arial" w:eastAsia="Times New Roman" w:hAnsi="Arial" w:cs="Arial"/>
          <w:b/>
          <w:bCs/>
          <w:lang w:eastAsia="fr-FR"/>
        </w:rPr>
        <w:t>1</w:t>
      </w:r>
      <w:r w:rsidR="00111E62" w:rsidRPr="00111E62">
        <w:rPr>
          <w:rFonts w:ascii="Arial" w:eastAsia="Times New Roman" w:hAnsi="Arial" w:cs="Arial"/>
          <w:b/>
          <w:bCs/>
          <w:lang w:eastAsia="fr-FR"/>
        </w:rPr>
        <w:t>. Point de départ méthodologique</w:t>
      </w:r>
    </w:p>
    <w:p w14:paraId="5100ACAD"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Le cadre commun déjà établi permet de distinguer plusieurs familles d’indicateurs : ceux relatifs à la formation et à l’insertion, ceux portant sur les activités économiques et l’emploi, ceux liés à l’intermédiation et à l’accès aux opportunités, ceux relatifs à l’environnement institutionnel et aux écosystèmes, ainsi qu’un marqueur transversal consacré à la contribution du français à l’employabilité.</w:t>
      </w:r>
    </w:p>
    <w:p w14:paraId="21ED4250"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Dans cette architecture, les indicateurs </w:t>
      </w:r>
      <w:r w:rsidRPr="00111E62">
        <w:rPr>
          <w:rFonts w:ascii="Arial" w:eastAsia="Times New Roman" w:hAnsi="Arial" w:cs="Arial"/>
          <w:b/>
          <w:bCs/>
          <w:lang w:eastAsia="fr-FR"/>
        </w:rPr>
        <w:t>A1</w:t>
      </w:r>
      <w:r w:rsidRPr="00111E62">
        <w:rPr>
          <w:rFonts w:ascii="Arial" w:eastAsia="Times New Roman" w:hAnsi="Arial" w:cs="Arial"/>
          <w:lang w:eastAsia="fr-FR"/>
        </w:rPr>
        <w:t xml:space="preserve"> et </w:t>
      </w:r>
      <w:r w:rsidRPr="00111E62">
        <w:rPr>
          <w:rFonts w:ascii="Arial" w:eastAsia="Times New Roman" w:hAnsi="Arial" w:cs="Arial"/>
          <w:b/>
          <w:bCs/>
          <w:lang w:eastAsia="fr-FR"/>
        </w:rPr>
        <w:t>B1</w:t>
      </w:r>
      <w:r w:rsidRPr="00111E62">
        <w:rPr>
          <w:rFonts w:ascii="Arial" w:eastAsia="Times New Roman" w:hAnsi="Arial" w:cs="Arial"/>
          <w:lang w:eastAsia="fr-FR"/>
        </w:rPr>
        <w:t xml:space="preserve"> occupent une place particulière. Ils constituent des </w:t>
      </w:r>
      <w:r w:rsidRPr="00111E62">
        <w:rPr>
          <w:rFonts w:ascii="Arial" w:eastAsia="Times New Roman" w:hAnsi="Arial" w:cs="Arial"/>
          <w:b/>
          <w:bCs/>
          <w:lang w:eastAsia="fr-FR"/>
        </w:rPr>
        <w:t>indicateurs de base de population</w:t>
      </w:r>
      <w:r w:rsidRPr="00111E62">
        <w:rPr>
          <w:rFonts w:ascii="Arial" w:eastAsia="Times New Roman" w:hAnsi="Arial" w:cs="Arial"/>
          <w:lang w:eastAsia="fr-FR"/>
        </w:rPr>
        <w:t>, au sens où ils permettent d’identifier les principales unités à partir desquelles les autres indicateurs pourront ensuite être documentés.</w:t>
      </w:r>
    </w:p>
    <w:p w14:paraId="2615CC42"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A1</w:t>
      </w:r>
      <w:r w:rsidRPr="00111E62">
        <w:rPr>
          <w:rFonts w:ascii="Arial" w:eastAsia="Times New Roman" w:hAnsi="Arial" w:cs="Arial"/>
          <w:lang w:eastAsia="fr-FR"/>
        </w:rPr>
        <w:t xml:space="preserve"> recense les jeunes ayant effectivement pris part à une formation soutenue par l’OIF. Il permet donc de constituer l’univers de référence pour le suivi des parcours de formation, de certification, de progression des compétences et, à terme, de l’insertion professionnelle. L’indicateur </w:t>
      </w:r>
      <w:r w:rsidRPr="00111E62">
        <w:rPr>
          <w:rFonts w:ascii="Arial" w:eastAsia="Times New Roman" w:hAnsi="Arial" w:cs="Arial"/>
          <w:b/>
          <w:bCs/>
          <w:lang w:eastAsia="fr-FR"/>
        </w:rPr>
        <w:t>B1</w:t>
      </w:r>
      <w:r w:rsidRPr="00111E62">
        <w:rPr>
          <w:rFonts w:ascii="Arial" w:eastAsia="Times New Roman" w:hAnsi="Arial" w:cs="Arial"/>
          <w:lang w:eastAsia="fr-FR"/>
        </w:rPr>
        <w:t>, pour sa part, recense les activités économiques appuyées, qu’il s’agisse d’AGR, de micro-entreprises ou d’autres initiatives économiques soutenues. Il constitue l’univers de référence pour le suivi de la survie des structures, des emplois créés ou maintenus, et de certains effets économiques plus larges.</w:t>
      </w:r>
    </w:p>
    <w:p w14:paraId="2D49C79C" w14:textId="22C23FC7" w:rsidR="00111E62" w:rsidRPr="005871F9"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L’approche proposée consiste donc à faire de ces deux indicateurs les </w:t>
      </w:r>
      <w:r w:rsidRPr="00111E62">
        <w:rPr>
          <w:rFonts w:ascii="Arial" w:eastAsia="Times New Roman" w:hAnsi="Arial" w:cs="Arial"/>
          <w:b/>
          <w:bCs/>
          <w:lang w:eastAsia="fr-FR"/>
        </w:rPr>
        <w:t>points d’entrée méthodologiques</w:t>
      </w:r>
      <w:r w:rsidRPr="00111E62">
        <w:rPr>
          <w:rFonts w:ascii="Arial" w:eastAsia="Times New Roman" w:hAnsi="Arial" w:cs="Arial"/>
          <w:lang w:eastAsia="fr-FR"/>
        </w:rPr>
        <w:t xml:space="preserve"> du dispositif de collecte.</w:t>
      </w:r>
    </w:p>
    <w:p w14:paraId="1115852B" w14:textId="3F367041" w:rsidR="000C69A5" w:rsidRDefault="000C69A5"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La réussite de cette opération repose sur </w:t>
      </w:r>
      <w:r w:rsidR="00E867F3">
        <w:rPr>
          <w:rFonts w:ascii="Arial" w:eastAsia="Times New Roman" w:hAnsi="Arial" w:cs="Arial"/>
          <w:lang w:eastAsia="fr-FR"/>
        </w:rPr>
        <w:t>deux</w:t>
      </w:r>
      <w:r w:rsidRPr="00111E62">
        <w:rPr>
          <w:rFonts w:ascii="Arial" w:eastAsia="Times New Roman" w:hAnsi="Arial" w:cs="Arial"/>
          <w:lang w:eastAsia="fr-FR"/>
        </w:rPr>
        <w:t xml:space="preserve"> conditions.</w:t>
      </w:r>
      <w:r w:rsidRPr="005871F9">
        <w:rPr>
          <w:rFonts w:ascii="Arial" w:eastAsia="Times New Roman" w:hAnsi="Arial" w:cs="Arial"/>
          <w:lang w:eastAsia="fr-FR"/>
        </w:rPr>
        <w:t xml:space="preserve"> </w:t>
      </w:r>
      <w:r w:rsidRPr="00111E62">
        <w:rPr>
          <w:rFonts w:ascii="Arial" w:eastAsia="Times New Roman" w:hAnsi="Arial" w:cs="Arial"/>
          <w:lang w:eastAsia="fr-FR"/>
        </w:rPr>
        <w:t xml:space="preserve">La première est la </w:t>
      </w:r>
      <w:r w:rsidRPr="00111E62">
        <w:rPr>
          <w:rFonts w:ascii="Arial" w:eastAsia="Times New Roman" w:hAnsi="Arial" w:cs="Arial"/>
          <w:b/>
          <w:bCs/>
          <w:lang w:eastAsia="fr-FR"/>
        </w:rPr>
        <w:t>mobilisation rapide des équipes projets et des partenaires</w:t>
      </w:r>
      <w:r w:rsidRPr="00111E62">
        <w:rPr>
          <w:rFonts w:ascii="Arial" w:eastAsia="Times New Roman" w:hAnsi="Arial" w:cs="Arial"/>
          <w:lang w:eastAsia="fr-FR"/>
        </w:rPr>
        <w:t>, sans laquelle la constitution des bases A1 et B1 risque d’être retardée.</w:t>
      </w:r>
      <w:r w:rsidRPr="005871F9">
        <w:rPr>
          <w:rFonts w:ascii="Arial" w:eastAsia="Times New Roman" w:hAnsi="Arial" w:cs="Arial"/>
          <w:lang w:eastAsia="fr-FR"/>
        </w:rPr>
        <w:t xml:space="preserve"> </w:t>
      </w:r>
      <w:r w:rsidRPr="00111E62">
        <w:rPr>
          <w:rFonts w:ascii="Arial" w:eastAsia="Times New Roman" w:hAnsi="Arial" w:cs="Arial"/>
          <w:lang w:eastAsia="fr-FR"/>
        </w:rPr>
        <w:t xml:space="preserve">La deuxième est la </w:t>
      </w:r>
      <w:r w:rsidRPr="00111E62">
        <w:rPr>
          <w:rFonts w:ascii="Arial" w:eastAsia="Times New Roman" w:hAnsi="Arial" w:cs="Arial"/>
          <w:b/>
          <w:bCs/>
          <w:lang w:eastAsia="fr-FR"/>
        </w:rPr>
        <w:t>qualité des informations de contact</w:t>
      </w:r>
      <w:r w:rsidRPr="00111E62">
        <w:rPr>
          <w:rFonts w:ascii="Arial" w:eastAsia="Times New Roman" w:hAnsi="Arial" w:cs="Arial"/>
          <w:lang w:eastAsia="fr-FR"/>
        </w:rPr>
        <w:t xml:space="preserve"> figurant dans les bases initiales. Plus ces informations seront fiables, plus le dispositif de relance sera efficace.</w:t>
      </w:r>
    </w:p>
    <w:p w14:paraId="267D4EB9" w14:textId="77777777" w:rsidR="00BB5F8F" w:rsidRPr="00111E62" w:rsidRDefault="00BB5F8F" w:rsidP="00E867F3">
      <w:pPr>
        <w:spacing w:before="100" w:beforeAutospacing="1" w:after="100" w:afterAutospacing="1" w:line="240" w:lineRule="auto"/>
        <w:jc w:val="both"/>
        <w:rPr>
          <w:rFonts w:ascii="Arial" w:eastAsia="Times New Roman" w:hAnsi="Arial" w:cs="Arial"/>
          <w:lang w:eastAsia="fr-FR"/>
        </w:rPr>
      </w:pPr>
    </w:p>
    <w:p w14:paraId="027B7807" w14:textId="2F9CDA4E" w:rsidR="00111E62" w:rsidRPr="00111E62" w:rsidRDefault="00BA2282" w:rsidP="00111E62">
      <w:pPr>
        <w:spacing w:before="100" w:beforeAutospacing="1" w:after="100" w:afterAutospacing="1" w:line="240" w:lineRule="auto"/>
        <w:outlineLvl w:val="1"/>
        <w:rPr>
          <w:rFonts w:ascii="Arial" w:eastAsia="Times New Roman" w:hAnsi="Arial" w:cs="Arial"/>
          <w:b/>
          <w:bCs/>
          <w:lang w:eastAsia="fr-FR"/>
        </w:rPr>
      </w:pPr>
      <w:r>
        <w:rPr>
          <w:rFonts w:ascii="Arial" w:eastAsia="Times New Roman" w:hAnsi="Arial" w:cs="Arial"/>
          <w:b/>
          <w:bCs/>
          <w:lang w:eastAsia="fr-FR"/>
        </w:rPr>
        <w:lastRenderedPageBreak/>
        <w:t>2</w:t>
      </w:r>
      <w:r w:rsidR="00111E62" w:rsidRPr="00111E62">
        <w:rPr>
          <w:rFonts w:ascii="Arial" w:eastAsia="Times New Roman" w:hAnsi="Arial" w:cs="Arial"/>
          <w:b/>
          <w:bCs/>
          <w:lang w:eastAsia="fr-FR"/>
        </w:rPr>
        <w:t>. Approche générale proposée</w:t>
      </w:r>
    </w:p>
    <w:p w14:paraId="55B85B8A" w14:textId="4BF3B718"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L’approche à retenir </w:t>
      </w:r>
      <w:r w:rsidRPr="005871F9">
        <w:rPr>
          <w:rFonts w:ascii="Arial" w:eastAsia="Times New Roman" w:hAnsi="Arial" w:cs="Arial"/>
          <w:lang w:eastAsia="fr-FR"/>
        </w:rPr>
        <w:t>peut-être</w:t>
      </w:r>
      <w:r w:rsidRPr="00111E62">
        <w:rPr>
          <w:rFonts w:ascii="Arial" w:eastAsia="Times New Roman" w:hAnsi="Arial" w:cs="Arial"/>
          <w:lang w:eastAsia="fr-FR"/>
        </w:rPr>
        <w:t xml:space="preserve"> présentée comme un processus en deux volets complémentaires.</w:t>
      </w:r>
    </w:p>
    <w:p w14:paraId="1C9CA36A"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Le premier volet porte sur la </w:t>
      </w:r>
      <w:r w:rsidRPr="00111E62">
        <w:rPr>
          <w:rFonts w:ascii="Arial" w:eastAsia="Times New Roman" w:hAnsi="Arial" w:cs="Arial"/>
          <w:b/>
          <w:bCs/>
          <w:lang w:eastAsia="fr-FR"/>
        </w:rPr>
        <w:t>constitution des bases de sondage</w:t>
      </w:r>
      <w:r w:rsidRPr="00111E62">
        <w:rPr>
          <w:rFonts w:ascii="Arial" w:eastAsia="Times New Roman" w:hAnsi="Arial" w:cs="Arial"/>
          <w:lang w:eastAsia="fr-FR"/>
        </w:rPr>
        <w:t>, c’est-à-dire sur l’identification exhaustive et structurée des individus et des structures qui formeront les univers d’enquête. Il s’agit ici de transformer les données de mise en œuvre déjà disponibles dans les projets en bases de travail consolidées, nettoyées et prêtes à être exploitées.</w:t>
      </w:r>
    </w:p>
    <w:p w14:paraId="4035E1AA"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Le second volet porte sur la </w:t>
      </w:r>
      <w:r w:rsidRPr="00111E62">
        <w:rPr>
          <w:rFonts w:ascii="Arial" w:eastAsia="Times New Roman" w:hAnsi="Arial" w:cs="Arial"/>
          <w:b/>
          <w:bCs/>
          <w:lang w:eastAsia="fr-FR"/>
        </w:rPr>
        <w:t>documentation des autres indicateurs</w:t>
      </w:r>
      <w:r w:rsidRPr="00111E62">
        <w:rPr>
          <w:rFonts w:ascii="Arial" w:eastAsia="Times New Roman" w:hAnsi="Arial" w:cs="Arial"/>
          <w:lang w:eastAsia="fr-FR"/>
        </w:rPr>
        <w:t>, à partir de ces bases de référence mais aussi, selon les cas, à partir de sources documentaires, de plateformes, de questionnaires ciblés, de mini-enquêtes ou d’études de cas.</w:t>
      </w:r>
    </w:p>
    <w:p w14:paraId="6E1F0D86" w14:textId="044BD2C4"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Il convient de souligner que tous les indicateurs ne relèvent pas du même mode de renseignement. Certains peuvent être documentés de manière quasi exhaustive à partir des données </w:t>
      </w:r>
      <w:r w:rsidRPr="005871F9">
        <w:rPr>
          <w:rFonts w:ascii="Arial" w:eastAsia="Times New Roman" w:hAnsi="Arial" w:cs="Arial"/>
          <w:lang w:eastAsia="fr-FR"/>
        </w:rPr>
        <w:t xml:space="preserve">sur les personnes formées et les </w:t>
      </w:r>
      <w:r w:rsidR="000C69A5" w:rsidRPr="005871F9">
        <w:rPr>
          <w:rFonts w:ascii="Arial" w:eastAsia="Times New Roman" w:hAnsi="Arial" w:cs="Arial"/>
          <w:lang w:eastAsia="fr-FR"/>
        </w:rPr>
        <w:t>initiatives</w:t>
      </w:r>
      <w:r w:rsidRPr="005871F9">
        <w:rPr>
          <w:rFonts w:ascii="Arial" w:eastAsia="Times New Roman" w:hAnsi="Arial" w:cs="Arial"/>
          <w:lang w:eastAsia="fr-FR"/>
        </w:rPr>
        <w:t xml:space="preserve"> </w:t>
      </w:r>
      <w:r w:rsidR="000C69A5" w:rsidRPr="005871F9">
        <w:rPr>
          <w:rFonts w:ascii="Arial" w:eastAsia="Times New Roman" w:hAnsi="Arial" w:cs="Arial"/>
          <w:lang w:eastAsia="fr-FR"/>
        </w:rPr>
        <w:t>appuyées</w:t>
      </w:r>
      <w:r w:rsidRPr="00111E62">
        <w:rPr>
          <w:rFonts w:ascii="Arial" w:eastAsia="Times New Roman" w:hAnsi="Arial" w:cs="Arial"/>
          <w:lang w:eastAsia="fr-FR"/>
        </w:rPr>
        <w:t xml:space="preserve"> déjà disponibles. D’autres nécessitent un travail d’enquête par sondage, car ils reposent sur des informations qui ne figurent pas dans les bases de réalisation des projets. D’autres enfin relèvent davantage d’un travail de documentation qualitative, en particulier lorsqu’il s’agit d’apprécier des changements institutionnels, des effets sur l’environnement ou des usages professionnels.</w:t>
      </w:r>
    </w:p>
    <w:p w14:paraId="3856B48F" w14:textId="4EB5EB12" w:rsid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L’enjeu est donc de mettre en place un dispositif différencié mais cohérent, capable de traiter chaque catégorie d’indicateurs avec la méthode la plus adaptée.</w:t>
      </w:r>
    </w:p>
    <w:p w14:paraId="40D56E9E" w14:textId="77777777" w:rsidR="003C3756" w:rsidRPr="003C3756" w:rsidRDefault="003C3756" w:rsidP="003C3756">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3C3756">
        <w:rPr>
          <w:rFonts w:ascii="Arial" w:eastAsia="Times New Roman" w:hAnsi="Arial" w:cs="Arial"/>
          <w:color w:val="000000"/>
          <w:highlight w:val="yellow"/>
          <w:bdr w:val="none" w:sz="0" w:space="0" w:color="auto" w:frame="1"/>
          <w:lang w:eastAsia="fr-FR"/>
        </w:rPr>
        <w:t>La collecte des données relève de la responsabilité partagée de l’ensemble des parties prenantes impliquées dans la mise en œuvre des projets.</w:t>
      </w:r>
    </w:p>
    <w:p w14:paraId="4876C00B" w14:textId="180988E5" w:rsidR="003C3756" w:rsidRPr="00607E6C" w:rsidRDefault="003C3756" w:rsidP="003C3756">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607E6C">
        <w:rPr>
          <w:rFonts w:ascii="Arial" w:eastAsia="Times New Roman" w:hAnsi="Arial" w:cs="Arial"/>
          <w:color w:val="000000"/>
          <w:highlight w:val="yellow"/>
          <w:bdr w:val="none" w:sz="0" w:space="0" w:color="auto" w:frame="1"/>
          <w:lang w:eastAsia="fr-FR"/>
        </w:rPr>
        <w:t>Les données relatives au nombre de jeunes formés, au taux d’achèvement des formations, au taux de certification ou d’attestation, ainsi qu’aux activités économiques appuyées — constituant la base de données nominative des bénéficiaires — sont collectées par les unités chefs de file des projets ciblés, sur la base d’un formulaire standardisé mis à disposition par le SCS. À cette fin, les partenaires de mise en œuvre ainsi que les gestionnaires des plateformes de formation sont directement mobilisés par les unités chefs de file.</w:t>
      </w:r>
    </w:p>
    <w:p w14:paraId="0EB2545E" w14:textId="77777777" w:rsidR="003C3756" w:rsidRPr="00607E6C" w:rsidRDefault="003C3756" w:rsidP="003C3756">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607E6C">
        <w:rPr>
          <w:rFonts w:ascii="Arial" w:eastAsia="Times New Roman" w:hAnsi="Arial" w:cs="Arial"/>
          <w:color w:val="000000"/>
          <w:highlight w:val="yellow"/>
          <w:bdr w:val="none" w:sz="0" w:space="0" w:color="auto" w:frame="1"/>
          <w:lang w:eastAsia="fr-FR"/>
        </w:rPr>
        <w:t>Les indicateurs plus approfondis, portant sur les changements observés, les parcours des bénéficiaires ainsi que les bénéfices directs et indirects des appuis de l’OIF (formations et soutien aux initiatives économiques), sont documentés à partir d’un questionnaire d’enquête administré directement aux bénéficiaires par le SCS. Les unités chefs de file facilitent, à cet effet, la prise de contact avec les bénéficiaires concernés.</w:t>
      </w:r>
    </w:p>
    <w:p w14:paraId="7159948F" w14:textId="686E2BBD" w:rsidR="00111E62" w:rsidRPr="00111E62" w:rsidRDefault="00BA2282" w:rsidP="00111E62">
      <w:pPr>
        <w:spacing w:before="100" w:beforeAutospacing="1" w:after="100" w:afterAutospacing="1" w:line="240" w:lineRule="auto"/>
        <w:outlineLvl w:val="1"/>
        <w:rPr>
          <w:rFonts w:ascii="Arial" w:eastAsia="Times New Roman" w:hAnsi="Arial" w:cs="Arial"/>
          <w:b/>
          <w:bCs/>
          <w:lang w:eastAsia="fr-FR"/>
        </w:rPr>
      </w:pPr>
      <w:r>
        <w:rPr>
          <w:rFonts w:ascii="Arial" w:eastAsia="Times New Roman" w:hAnsi="Arial" w:cs="Arial"/>
          <w:b/>
          <w:bCs/>
          <w:lang w:eastAsia="fr-FR"/>
        </w:rPr>
        <w:t>3</w:t>
      </w:r>
      <w:r w:rsidR="00111E62" w:rsidRPr="00111E62">
        <w:rPr>
          <w:rFonts w:ascii="Arial" w:eastAsia="Times New Roman" w:hAnsi="Arial" w:cs="Arial"/>
          <w:b/>
          <w:bCs/>
          <w:lang w:eastAsia="fr-FR"/>
        </w:rPr>
        <w:t>. Constitution de la base de sondage à partir de A1 et B1</w:t>
      </w:r>
    </w:p>
    <w:p w14:paraId="14A51E26"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La première étape du travail consiste à constituer deux bases de sondage distinctes mais complémentaires.</w:t>
      </w:r>
    </w:p>
    <w:p w14:paraId="1D82565F" w14:textId="027675AA"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3</w:t>
      </w:r>
      <w:r w:rsidR="00111E62" w:rsidRPr="00111E62">
        <w:rPr>
          <w:rFonts w:ascii="Arial" w:eastAsia="Times New Roman" w:hAnsi="Arial" w:cs="Arial"/>
          <w:b/>
          <w:bCs/>
          <w:lang w:eastAsia="fr-FR"/>
        </w:rPr>
        <w:t>.1. Base de sondage issue de A1 : les jeunes formés</w:t>
      </w:r>
    </w:p>
    <w:p w14:paraId="2C3847B0"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La base construite à partir de l’indicateur A1 doit rassembler l’ensemble des jeunes ayant effectivement participé à une formation soutenue par l’OIF dans le cadre des projets concernés. Elle constitue l’univers de référence principal pour le suivi des indicateurs de la catégorie A, et plus largement pour tous les indicateurs qui supposent un contact direct avec les bénéficiaires individuels.</w:t>
      </w:r>
    </w:p>
    <w:p w14:paraId="0623083A"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lastRenderedPageBreak/>
        <w:t>Cette base devra être constituée à partir des listes de présence, des fiches d’inscription, des bases de données des opérateurs et, le cas échéant, des plateformes de formation. Elle devra être consolidée et harmonisée afin de rendre les données comparables entre projets, partenaires et pays.</w:t>
      </w:r>
    </w:p>
    <w:p w14:paraId="08FF5205" w14:textId="10A188D9"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Pour être exploitable comme base de sondage, cette liste devra comprendre, au minimum, un identifiant unique, l’identité du bénéficiaire, le sexe, l’âge ou la tranche d’âge, le projet de rattachement, le type de formation suivie, les dates de participation, ainsi que des informations de contact fiables permettant une </w:t>
      </w:r>
      <w:r w:rsidR="00E867F3">
        <w:rPr>
          <w:rFonts w:ascii="Arial" w:eastAsia="Times New Roman" w:hAnsi="Arial" w:cs="Arial"/>
          <w:lang w:eastAsia="fr-FR"/>
        </w:rPr>
        <w:t>enquête</w:t>
      </w:r>
      <w:r w:rsidRPr="00111E62">
        <w:rPr>
          <w:rFonts w:ascii="Arial" w:eastAsia="Times New Roman" w:hAnsi="Arial" w:cs="Arial"/>
          <w:lang w:eastAsia="fr-FR"/>
        </w:rPr>
        <w:t xml:space="preserve"> </w:t>
      </w:r>
      <w:r w:rsidR="00E867F3">
        <w:rPr>
          <w:rFonts w:ascii="Arial" w:eastAsia="Times New Roman" w:hAnsi="Arial" w:cs="Arial"/>
          <w:lang w:eastAsia="fr-FR"/>
        </w:rPr>
        <w:t>en ligne</w:t>
      </w:r>
      <w:r w:rsidRPr="00111E62">
        <w:rPr>
          <w:rFonts w:ascii="Arial" w:eastAsia="Times New Roman" w:hAnsi="Arial" w:cs="Arial"/>
          <w:lang w:eastAsia="fr-FR"/>
        </w:rPr>
        <w:t xml:space="preserve"> ou par messagerie.</w:t>
      </w:r>
    </w:p>
    <w:p w14:paraId="45FA3F17"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Au-delà de la simple compilation des listes, un travail de nettoyage sera indispensable. Il faudra notamment éliminer les doublons, harmoniser les noms de projets et de partenaires, vérifier les coordonnées, distinguer les inscrits des participants effectifs et repérer les cohortes pour lesquelles un suivi d’insertion à 6 mois ou 12 mois est déjà méthodologiquement possible.</w:t>
      </w:r>
    </w:p>
    <w:p w14:paraId="2C5334D1" w14:textId="4E2DC631"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3</w:t>
      </w:r>
      <w:r w:rsidR="00111E62" w:rsidRPr="00111E62">
        <w:rPr>
          <w:rFonts w:ascii="Arial" w:eastAsia="Times New Roman" w:hAnsi="Arial" w:cs="Arial"/>
          <w:b/>
          <w:bCs/>
          <w:lang w:eastAsia="fr-FR"/>
        </w:rPr>
        <w:t>.2. Base de sondage issue de B1 : les activités économiques appuyées</w:t>
      </w:r>
    </w:p>
    <w:p w14:paraId="0F1DF924"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La base construite à partir de l’indicateur B1 doit recenser l’ensemble des activités économiques appuyées par l’OIF, qu’il s’agisse d’AGR, de micro-entreprises, de coopératives, de très petites structures ou d’autres initiatives à potentiel économique. Elle constitue l’univers de référence pour le suivi des indicateurs de la catégorie B.</w:t>
      </w:r>
    </w:p>
    <w:p w14:paraId="0BEB8AEF"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Cette base devra être alimentée à partir des PAS, des conventions, des rapports financiers, des fichiers de suivi des projets et des informations détenues par les partenaires de mise en œuvre. Elle devra, elle aussi, être harmonisée et nettoyée.</w:t>
      </w:r>
    </w:p>
    <w:p w14:paraId="663DB6C8" w14:textId="3644376E"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Pour chaque structure, il conviendra de renseigner un identifiant, le nom de la structure ou du porteur, le sexe et, si possible, l’âge du porteur principal, le pays et la localité, le secteur d’activité, la date de création, la date de l’appui, la nature et le montant de l’appui, ainsi que les coordonnées permettant le suivi</w:t>
      </w:r>
      <w:r w:rsidR="00E867F3">
        <w:rPr>
          <w:rFonts w:ascii="Arial" w:eastAsia="Times New Roman" w:hAnsi="Arial" w:cs="Arial"/>
          <w:lang w:eastAsia="fr-FR"/>
        </w:rPr>
        <w:t xml:space="preserve"> à distance</w:t>
      </w:r>
      <w:r w:rsidRPr="00111E62">
        <w:rPr>
          <w:rFonts w:ascii="Arial" w:eastAsia="Times New Roman" w:hAnsi="Arial" w:cs="Arial"/>
          <w:lang w:eastAsia="fr-FR"/>
        </w:rPr>
        <w:t>.</w:t>
      </w:r>
    </w:p>
    <w:p w14:paraId="689A0D31"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Le nettoyage de cette base devra permettre de distinguer clairement les structures nouvellement créées des structures préexistantes renforcées, d’éviter les doubles comptes liés à plusieurs appuis accordés à une même structure et de fiabiliser les informations de contact.</w:t>
      </w:r>
    </w:p>
    <w:p w14:paraId="78F8F846" w14:textId="5686B7C5" w:rsidR="00111E62" w:rsidRPr="00111E62" w:rsidRDefault="00BA2282" w:rsidP="00111E62">
      <w:pPr>
        <w:spacing w:before="100" w:beforeAutospacing="1" w:after="100" w:afterAutospacing="1" w:line="240" w:lineRule="auto"/>
        <w:outlineLvl w:val="1"/>
        <w:rPr>
          <w:rFonts w:ascii="Arial" w:eastAsia="Times New Roman" w:hAnsi="Arial" w:cs="Arial"/>
          <w:b/>
          <w:bCs/>
          <w:lang w:eastAsia="fr-FR"/>
        </w:rPr>
      </w:pPr>
      <w:r>
        <w:rPr>
          <w:rFonts w:ascii="Arial" w:eastAsia="Times New Roman" w:hAnsi="Arial" w:cs="Arial"/>
          <w:b/>
          <w:bCs/>
          <w:lang w:eastAsia="fr-FR"/>
        </w:rPr>
        <w:t>4</w:t>
      </w:r>
      <w:r w:rsidR="00111E62" w:rsidRPr="00111E62">
        <w:rPr>
          <w:rFonts w:ascii="Arial" w:eastAsia="Times New Roman" w:hAnsi="Arial" w:cs="Arial"/>
          <w:b/>
          <w:bCs/>
          <w:lang w:eastAsia="fr-FR"/>
        </w:rPr>
        <w:t>. Utilisation des bases de sondage pour la documentation des autres indicateurs</w:t>
      </w:r>
    </w:p>
    <w:p w14:paraId="02598FB7"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Une fois les bases A1 et B1 constituées, elles pourront être mobilisées comme socle pour le renseignement des autres indicateurs.</w:t>
      </w:r>
    </w:p>
    <w:p w14:paraId="40EB23BE"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La base des </w:t>
      </w:r>
      <w:r w:rsidRPr="00111E62">
        <w:rPr>
          <w:rFonts w:ascii="Arial" w:eastAsia="Times New Roman" w:hAnsi="Arial" w:cs="Arial"/>
          <w:b/>
          <w:bCs/>
          <w:lang w:eastAsia="fr-FR"/>
        </w:rPr>
        <w:t>jeunes formés</w:t>
      </w:r>
      <w:r w:rsidRPr="00111E62">
        <w:rPr>
          <w:rFonts w:ascii="Arial" w:eastAsia="Times New Roman" w:hAnsi="Arial" w:cs="Arial"/>
          <w:lang w:eastAsia="fr-FR"/>
        </w:rPr>
        <w:t xml:space="preserve"> permettra de documenter les indicateurs relatifs à l’achèvement des formations, à la certification, au gain de compétences, à l’insertion professionnelle, à l’utilité perçue de l’appui et, le cas échéant, à l’apport du français à l’employabilité. Elle servira donc à la fois à des calculs exhaustifs lorsque les données existent déjà dans les dispositifs de formation, et à des enquêtes ciblées lorsque l’information n’est pas disponible dans les sources administratives.</w:t>
      </w:r>
    </w:p>
    <w:p w14:paraId="17C6F5B6"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La base des </w:t>
      </w:r>
      <w:r w:rsidRPr="00111E62">
        <w:rPr>
          <w:rFonts w:ascii="Arial" w:eastAsia="Times New Roman" w:hAnsi="Arial" w:cs="Arial"/>
          <w:b/>
          <w:bCs/>
          <w:lang w:eastAsia="fr-FR"/>
        </w:rPr>
        <w:t>activités économiques appuyées</w:t>
      </w:r>
      <w:r w:rsidRPr="00111E62">
        <w:rPr>
          <w:rFonts w:ascii="Arial" w:eastAsia="Times New Roman" w:hAnsi="Arial" w:cs="Arial"/>
          <w:lang w:eastAsia="fr-FR"/>
        </w:rPr>
        <w:t xml:space="preserve"> permettra, quant à elle, de documenter les indicateurs relatifs à la survie des structures, aux emplois créés ou maintenus, et à certains effets économiques indirects, à partir d’enquêtes de suivi ou de modules spécifiques adressés aux porteurs d’activités.</w:t>
      </w:r>
    </w:p>
    <w:p w14:paraId="46CD0EC0"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lastRenderedPageBreak/>
        <w:t xml:space="preserve">Ainsi, la base de sondage n’est pas seulement un instrument technique permettant de sélectionner des unités d’enquête. Elle constitue le </w:t>
      </w:r>
      <w:r w:rsidRPr="00111E62">
        <w:rPr>
          <w:rFonts w:ascii="Arial" w:eastAsia="Times New Roman" w:hAnsi="Arial" w:cs="Arial"/>
          <w:b/>
          <w:bCs/>
          <w:lang w:eastAsia="fr-FR"/>
        </w:rPr>
        <w:t>pivot méthodologique</w:t>
      </w:r>
      <w:r w:rsidRPr="00111E62">
        <w:rPr>
          <w:rFonts w:ascii="Arial" w:eastAsia="Times New Roman" w:hAnsi="Arial" w:cs="Arial"/>
          <w:lang w:eastAsia="fr-FR"/>
        </w:rPr>
        <w:t xml:space="preserve"> de l’ensemble du dispositif de documentation.</w:t>
      </w:r>
    </w:p>
    <w:p w14:paraId="43BBA81A" w14:textId="30C96179" w:rsidR="00111E62" w:rsidRPr="00111E62" w:rsidRDefault="00BA2282" w:rsidP="00111E62">
      <w:pPr>
        <w:spacing w:before="100" w:beforeAutospacing="1" w:after="100" w:afterAutospacing="1" w:line="240" w:lineRule="auto"/>
        <w:outlineLvl w:val="1"/>
        <w:rPr>
          <w:rFonts w:ascii="Arial" w:eastAsia="Times New Roman" w:hAnsi="Arial" w:cs="Arial"/>
          <w:b/>
          <w:bCs/>
          <w:lang w:eastAsia="fr-FR"/>
        </w:rPr>
      </w:pPr>
      <w:r>
        <w:rPr>
          <w:rFonts w:ascii="Arial" w:eastAsia="Times New Roman" w:hAnsi="Arial" w:cs="Arial"/>
          <w:b/>
          <w:bCs/>
          <w:lang w:eastAsia="fr-FR"/>
        </w:rPr>
        <w:t>5</w:t>
      </w:r>
      <w:r w:rsidR="00111E62" w:rsidRPr="00111E62">
        <w:rPr>
          <w:rFonts w:ascii="Arial" w:eastAsia="Times New Roman" w:hAnsi="Arial" w:cs="Arial"/>
          <w:b/>
          <w:bCs/>
          <w:lang w:eastAsia="fr-FR"/>
        </w:rPr>
        <w:t>. Modalités de documentation par catégorie d’indicateurs</w:t>
      </w:r>
    </w:p>
    <w:p w14:paraId="112CCACF" w14:textId="6663530F"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5</w:t>
      </w:r>
      <w:r w:rsidR="00111E62" w:rsidRPr="00111E62">
        <w:rPr>
          <w:rFonts w:ascii="Arial" w:eastAsia="Times New Roman" w:hAnsi="Arial" w:cs="Arial"/>
          <w:b/>
          <w:bCs/>
          <w:lang w:eastAsia="fr-FR"/>
        </w:rPr>
        <w:t>.1. Indicateurs de la catégorie A</w:t>
      </w:r>
    </w:p>
    <w:p w14:paraId="3C825B0D" w14:textId="4FB2C49F"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Les indicateurs A1 à A5 relèvent d’une logique de suivi des parcours individuels. Tous ne demandent pas le même effort méthodologique.</w:t>
      </w:r>
      <w:r w:rsidR="00E867F3">
        <w:rPr>
          <w:rFonts w:ascii="Arial" w:eastAsia="Times New Roman" w:hAnsi="Arial" w:cs="Arial"/>
          <w:lang w:eastAsia="fr-FR"/>
        </w:rPr>
        <w:t xml:space="preserve"> </w:t>
      </w: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A1</w:t>
      </w:r>
      <w:r w:rsidRPr="00111E62">
        <w:rPr>
          <w:rFonts w:ascii="Arial" w:eastAsia="Times New Roman" w:hAnsi="Arial" w:cs="Arial"/>
          <w:lang w:eastAsia="fr-FR"/>
        </w:rPr>
        <w:t xml:space="preserve"> devra être documenté de manière exhaustive à partir des bases consolidées de formation.</w:t>
      </w:r>
    </w:p>
    <w:p w14:paraId="6FEBE18E"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Les indicateurs </w:t>
      </w:r>
      <w:r w:rsidRPr="00111E62">
        <w:rPr>
          <w:rFonts w:ascii="Arial" w:eastAsia="Times New Roman" w:hAnsi="Arial" w:cs="Arial"/>
          <w:b/>
          <w:bCs/>
          <w:lang w:eastAsia="fr-FR"/>
        </w:rPr>
        <w:t>A2</w:t>
      </w:r>
      <w:r w:rsidRPr="00111E62">
        <w:rPr>
          <w:rFonts w:ascii="Arial" w:eastAsia="Times New Roman" w:hAnsi="Arial" w:cs="Arial"/>
          <w:lang w:eastAsia="fr-FR"/>
        </w:rPr>
        <w:t xml:space="preserve"> et </w:t>
      </w:r>
      <w:r w:rsidRPr="00111E62">
        <w:rPr>
          <w:rFonts w:ascii="Arial" w:eastAsia="Times New Roman" w:hAnsi="Arial" w:cs="Arial"/>
          <w:b/>
          <w:bCs/>
          <w:lang w:eastAsia="fr-FR"/>
        </w:rPr>
        <w:t>A3</w:t>
      </w:r>
      <w:r w:rsidRPr="00111E62">
        <w:rPr>
          <w:rFonts w:ascii="Arial" w:eastAsia="Times New Roman" w:hAnsi="Arial" w:cs="Arial"/>
          <w:lang w:eastAsia="fr-FR"/>
        </w:rPr>
        <w:t xml:space="preserve"> pourront, dans la mesure du possible, être renseignés également de manière exhaustive, en mobilisant les données produites par les opérateurs de formation, les plateformes et les registres de certification.</w:t>
      </w:r>
    </w:p>
    <w:p w14:paraId="4738EAA3" w14:textId="77777777"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Les indicateurs </w:t>
      </w:r>
      <w:r w:rsidRPr="00111E62">
        <w:rPr>
          <w:rFonts w:ascii="Arial" w:eastAsia="Times New Roman" w:hAnsi="Arial" w:cs="Arial"/>
          <w:b/>
          <w:bCs/>
          <w:lang w:eastAsia="fr-FR"/>
        </w:rPr>
        <w:t>A4</w:t>
      </w:r>
      <w:r w:rsidRPr="00111E62">
        <w:rPr>
          <w:rFonts w:ascii="Arial" w:eastAsia="Times New Roman" w:hAnsi="Arial" w:cs="Arial"/>
          <w:lang w:eastAsia="fr-FR"/>
        </w:rPr>
        <w:t xml:space="preserve"> et </w:t>
      </w:r>
      <w:r w:rsidRPr="00111E62">
        <w:rPr>
          <w:rFonts w:ascii="Arial" w:eastAsia="Times New Roman" w:hAnsi="Arial" w:cs="Arial"/>
          <w:b/>
          <w:bCs/>
          <w:lang w:eastAsia="fr-FR"/>
        </w:rPr>
        <w:t>A5</w:t>
      </w:r>
      <w:r w:rsidRPr="00111E62">
        <w:rPr>
          <w:rFonts w:ascii="Arial" w:eastAsia="Times New Roman" w:hAnsi="Arial" w:cs="Arial"/>
          <w:lang w:eastAsia="fr-FR"/>
        </w:rPr>
        <w:t>, en revanche, exigeront le plus souvent un travail d’enquête complémentaire. Le gain de compétences pourra être documenté soit à partir de données avant/après déjà disponibles, soit à travers une enquête courte sur la perception et l’usage des compétences acquises. L’insertion professionnelle à 6 ou 12 mois nécessitera un suivi spécifique auprès des bénéficiaires, avec une attention particulière portée à la définition de l’emploi, à la temporalité du suivi et au lien entre l’activité exercée et la formation suivie.</w:t>
      </w:r>
    </w:p>
    <w:p w14:paraId="6D8E5856" w14:textId="546A5316"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5</w:t>
      </w:r>
      <w:r w:rsidR="00111E62" w:rsidRPr="00111E62">
        <w:rPr>
          <w:rFonts w:ascii="Arial" w:eastAsia="Times New Roman" w:hAnsi="Arial" w:cs="Arial"/>
          <w:b/>
          <w:bCs/>
          <w:lang w:eastAsia="fr-FR"/>
        </w:rPr>
        <w:t>.2. Indicateurs de la catégorie B</w:t>
      </w:r>
    </w:p>
    <w:p w14:paraId="0E09A0B7" w14:textId="316E770D"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Les indicateurs B1 à B4 portent sur les structures soutenues et sur les effets économiques associés.</w:t>
      </w:r>
      <w:r w:rsidR="00E867F3">
        <w:rPr>
          <w:rFonts w:ascii="Arial" w:eastAsia="Times New Roman" w:hAnsi="Arial" w:cs="Arial"/>
          <w:lang w:eastAsia="fr-FR"/>
        </w:rPr>
        <w:t xml:space="preserve"> </w:t>
      </w: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B1</w:t>
      </w:r>
      <w:r w:rsidRPr="00111E62">
        <w:rPr>
          <w:rFonts w:ascii="Arial" w:eastAsia="Times New Roman" w:hAnsi="Arial" w:cs="Arial"/>
          <w:lang w:eastAsia="fr-FR"/>
        </w:rPr>
        <w:t xml:space="preserve"> devra être renseigné de manière exhaustive à partir des bases de suivi des projets.</w:t>
      </w:r>
    </w:p>
    <w:p w14:paraId="226741FB"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 xml:space="preserve">Les indicateurs </w:t>
      </w:r>
      <w:r w:rsidRPr="00111E62">
        <w:rPr>
          <w:rFonts w:ascii="Arial" w:eastAsia="Times New Roman" w:hAnsi="Arial" w:cs="Arial"/>
          <w:b/>
          <w:bCs/>
          <w:lang w:eastAsia="fr-FR"/>
        </w:rPr>
        <w:t>B2</w:t>
      </w:r>
      <w:r w:rsidRPr="00111E62">
        <w:rPr>
          <w:rFonts w:ascii="Arial" w:eastAsia="Times New Roman" w:hAnsi="Arial" w:cs="Arial"/>
          <w:lang w:eastAsia="fr-FR"/>
        </w:rPr>
        <w:t xml:space="preserve"> et </w:t>
      </w:r>
      <w:r w:rsidRPr="00111E62">
        <w:rPr>
          <w:rFonts w:ascii="Arial" w:eastAsia="Times New Roman" w:hAnsi="Arial" w:cs="Arial"/>
          <w:b/>
          <w:bCs/>
          <w:lang w:eastAsia="fr-FR"/>
        </w:rPr>
        <w:t>B3</w:t>
      </w:r>
      <w:r w:rsidRPr="00111E62">
        <w:rPr>
          <w:rFonts w:ascii="Arial" w:eastAsia="Times New Roman" w:hAnsi="Arial" w:cs="Arial"/>
          <w:lang w:eastAsia="fr-FR"/>
        </w:rPr>
        <w:t xml:space="preserve"> devront être documentés par une enquête de suivi auprès des structures appuyées, permettant d’apprécier leur situation actuelle, la continuité de leur activité et les effets de l’appui sur l’emploi.</w:t>
      </w:r>
    </w:p>
    <w:p w14:paraId="6E5B082E" w14:textId="225B6BAA" w:rsidR="00111E62" w:rsidRPr="00111E62" w:rsidRDefault="00111E62" w:rsidP="00E867F3">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B4</w:t>
      </w:r>
      <w:r w:rsidRPr="00111E62">
        <w:rPr>
          <w:rFonts w:ascii="Arial" w:eastAsia="Times New Roman" w:hAnsi="Arial" w:cs="Arial"/>
          <w:lang w:eastAsia="fr-FR"/>
        </w:rPr>
        <w:t>, relatif aux emplois indirects</w:t>
      </w:r>
      <w:r w:rsidR="00E867F3">
        <w:rPr>
          <w:rFonts w:ascii="Arial" w:eastAsia="Times New Roman" w:hAnsi="Arial" w:cs="Arial"/>
          <w:lang w:eastAsia="fr-FR"/>
        </w:rPr>
        <w:t xml:space="preserve">, </w:t>
      </w:r>
      <w:r w:rsidRPr="00111E62">
        <w:rPr>
          <w:rFonts w:ascii="Arial" w:eastAsia="Times New Roman" w:hAnsi="Arial" w:cs="Arial"/>
          <w:lang w:eastAsia="fr-FR"/>
        </w:rPr>
        <w:t>ne pourra pas, dans la plupart des cas, être mesuré directement sur l’ensemble des structures. Sa documentation devra reposer sur des hypothèses explicites, des analyses sectorielles, des études de cas ou un sous-échantillon de situations bien documentées.</w:t>
      </w:r>
    </w:p>
    <w:p w14:paraId="3555D049" w14:textId="0A304EB5"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5</w:t>
      </w:r>
      <w:r w:rsidR="00111E62" w:rsidRPr="00111E62">
        <w:rPr>
          <w:rFonts w:ascii="Arial" w:eastAsia="Times New Roman" w:hAnsi="Arial" w:cs="Arial"/>
          <w:b/>
          <w:bCs/>
          <w:lang w:eastAsia="fr-FR"/>
        </w:rPr>
        <w:t>.3. Indicateurs de la catégorie C</w:t>
      </w:r>
    </w:p>
    <w:p w14:paraId="382458DC"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Les indicateurs de la catégorie C portent sur l’intermédiation et l’accès aux opportunités. Ils supposent, dans la plupart des cas, l’existence d’une trace ou d’un registre permettant de suivre les mises en relation et leurs suites.</w:t>
      </w:r>
    </w:p>
    <w:p w14:paraId="6571CFAE" w14:textId="77777777" w:rsidR="00111E62" w:rsidRPr="00111E62" w:rsidRDefault="00111E62" w:rsidP="00BA2282">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C1</w:t>
      </w:r>
      <w:r w:rsidRPr="00111E62">
        <w:rPr>
          <w:rFonts w:ascii="Arial" w:eastAsia="Times New Roman" w:hAnsi="Arial" w:cs="Arial"/>
          <w:lang w:eastAsia="fr-FR"/>
        </w:rPr>
        <w:t xml:space="preserve"> pourra être renseigné à partir des bases de plateformes, des registres d’événements, des outils de suivi des partenaires ou de tout dispositif permettant d’identifier les mises en relation documentées.</w:t>
      </w:r>
    </w:p>
    <w:p w14:paraId="5A39254B" w14:textId="77777777" w:rsidR="00111E62" w:rsidRPr="00111E62" w:rsidRDefault="00111E62" w:rsidP="00BA2282">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Les indicateurs </w:t>
      </w:r>
      <w:r w:rsidRPr="00111E62">
        <w:rPr>
          <w:rFonts w:ascii="Arial" w:eastAsia="Times New Roman" w:hAnsi="Arial" w:cs="Arial"/>
          <w:b/>
          <w:bCs/>
          <w:lang w:eastAsia="fr-FR"/>
        </w:rPr>
        <w:t>C2</w:t>
      </w:r>
      <w:r w:rsidRPr="00111E62">
        <w:rPr>
          <w:rFonts w:ascii="Arial" w:eastAsia="Times New Roman" w:hAnsi="Arial" w:cs="Arial"/>
          <w:lang w:eastAsia="fr-FR"/>
        </w:rPr>
        <w:t xml:space="preserve">, </w:t>
      </w:r>
      <w:r w:rsidRPr="00111E62">
        <w:rPr>
          <w:rFonts w:ascii="Arial" w:eastAsia="Times New Roman" w:hAnsi="Arial" w:cs="Arial"/>
          <w:b/>
          <w:bCs/>
          <w:lang w:eastAsia="fr-FR"/>
        </w:rPr>
        <w:t>C3</w:t>
      </w:r>
      <w:r w:rsidRPr="00111E62">
        <w:rPr>
          <w:rFonts w:ascii="Arial" w:eastAsia="Times New Roman" w:hAnsi="Arial" w:cs="Arial"/>
          <w:lang w:eastAsia="fr-FR"/>
        </w:rPr>
        <w:t xml:space="preserve"> et </w:t>
      </w:r>
      <w:r w:rsidRPr="00111E62">
        <w:rPr>
          <w:rFonts w:ascii="Arial" w:eastAsia="Times New Roman" w:hAnsi="Arial" w:cs="Arial"/>
          <w:b/>
          <w:bCs/>
          <w:lang w:eastAsia="fr-FR"/>
        </w:rPr>
        <w:t>C4</w:t>
      </w:r>
      <w:r w:rsidRPr="00111E62">
        <w:rPr>
          <w:rFonts w:ascii="Arial" w:eastAsia="Times New Roman" w:hAnsi="Arial" w:cs="Arial"/>
          <w:lang w:eastAsia="fr-FR"/>
        </w:rPr>
        <w:t xml:space="preserve"> nécessiteront un travail de suivi plus fin, visant à documenter la conversion des mises en relation en opportunités, la nature des opportunités effectivement obtenues et les délais d’accès. Cela supposera souvent des relances ciblées, voire un mini-questionnaire administré aux bénéficiaires concernés.</w:t>
      </w:r>
    </w:p>
    <w:p w14:paraId="5D589B57" w14:textId="77777777" w:rsidR="00111E62" w:rsidRPr="00111E62" w:rsidRDefault="00111E62" w:rsidP="00BA2282">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lastRenderedPageBreak/>
        <w:t xml:space="preserve">L’indicateur </w:t>
      </w:r>
      <w:r w:rsidRPr="00111E62">
        <w:rPr>
          <w:rFonts w:ascii="Arial" w:eastAsia="Times New Roman" w:hAnsi="Arial" w:cs="Arial"/>
          <w:b/>
          <w:bCs/>
          <w:lang w:eastAsia="fr-FR"/>
        </w:rPr>
        <w:t>C5</w:t>
      </w:r>
      <w:r w:rsidRPr="00111E62">
        <w:rPr>
          <w:rFonts w:ascii="Arial" w:eastAsia="Times New Roman" w:hAnsi="Arial" w:cs="Arial"/>
          <w:lang w:eastAsia="fr-FR"/>
        </w:rPr>
        <w:t>, relatif à la satisfaction et à l’utilité perçue, pourra être intégré comme module transversal dans les enquêtes conduites auprès des bénéficiaires des projets relevant des blocs formation, intermédiation ou entrepreneuriat.</w:t>
      </w:r>
    </w:p>
    <w:p w14:paraId="2B4C446E" w14:textId="3FA733FB"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5</w:t>
      </w:r>
      <w:r w:rsidR="00111E62" w:rsidRPr="00111E62">
        <w:rPr>
          <w:rFonts w:ascii="Arial" w:eastAsia="Times New Roman" w:hAnsi="Arial" w:cs="Arial"/>
          <w:b/>
          <w:bCs/>
          <w:lang w:eastAsia="fr-FR"/>
        </w:rPr>
        <w:t>.4. Indicateurs de la catégorie D</w:t>
      </w:r>
    </w:p>
    <w:p w14:paraId="27E9F20D"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Les indicateurs de la catégorie D se distinguent des précédents en ce qu’ils concernent davantage les effets sur l’environnement institutionnel, les dispositifs ou les écosystèmes.</w:t>
      </w:r>
    </w:p>
    <w:p w14:paraId="54F79824"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D1</w:t>
      </w:r>
      <w:r w:rsidRPr="00111E62">
        <w:rPr>
          <w:rFonts w:ascii="Arial" w:eastAsia="Times New Roman" w:hAnsi="Arial" w:cs="Arial"/>
          <w:lang w:eastAsia="fr-FR"/>
        </w:rPr>
        <w:t xml:space="preserve"> devra être renseigné à partir d’une revue documentaire structurée, portant sur les politiques, stratégies, dispositifs, cadres ou mécanismes bénéficiant d’un appui de l’OIF.</w:t>
      </w:r>
    </w:p>
    <w:p w14:paraId="3994787E" w14:textId="77777777" w:rsidR="00111E62" w:rsidRPr="00111E62" w:rsidRDefault="00111E62" w:rsidP="00111E62">
      <w:pPr>
        <w:spacing w:before="100" w:beforeAutospacing="1" w:after="100" w:afterAutospacing="1" w:line="240" w:lineRule="auto"/>
        <w:rPr>
          <w:rFonts w:ascii="Arial" w:eastAsia="Times New Roman" w:hAnsi="Arial" w:cs="Arial"/>
          <w:lang w:eastAsia="fr-FR"/>
        </w:rPr>
      </w:pP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D2</w:t>
      </w:r>
      <w:r w:rsidRPr="00111E62">
        <w:rPr>
          <w:rFonts w:ascii="Arial" w:eastAsia="Times New Roman" w:hAnsi="Arial" w:cs="Arial"/>
          <w:lang w:eastAsia="fr-FR"/>
        </w:rPr>
        <w:t xml:space="preserve"> pourra être documenté soit à travers une mini-enquête adressée aux acteurs publics ou institutionnels concernés, soit à travers des études de cas permettant d’illustrer l’évolution de certaines pratiques.</w:t>
      </w:r>
    </w:p>
    <w:p w14:paraId="0FDF4455" w14:textId="77777777" w:rsidR="00111E62" w:rsidRPr="00111E62" w:rsidRDefault="00111E62" w:rsidP="001E36EA">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L’indicateur </w:t>
      </w:r>
      <w:r w:rsidRPr="00111E62">
        <w:rPr>
          <w:rFonts w:ascii="Arial" w:eastAsia="Times New Roman" w:hAnsi="Arial" w:cs="Arial"/>
          <w:b/>
          <w:bCs/>
          <w:lang w:eastAsia="fr-FR"/>
        </w:rPr>
        <w:t>D3</w:t>
      </w:r>
      <w:r w:rsidRPr="00111E62">
        <w:rPr>
          <w:rFonts w:ascii="Arial" w:eastAsia="Times New Roman" w:hAnsi="Arial" w:cs="Arial"/>
          <w:lang w:eastAsia="fr-FR"/>
        </w:rPr>
        <w:t xml:space="preserve"> relève d’une logique encore plus qualitative. Il supposera de sélectionner quelques cas représentatifs, afin de documenter les changements observables plausiblement liés aux appuis de l’OIF. Ici, l’objectif n’est pas de produire un volume statistique, mais de rendre compte de manière rigoureuse et argumentée de transformations significatives.</w:t>
      </w:r>
    </w:p>
    <w:p w14:paraId="034D1A18" w14:textId="73A46AB5" w:rsidR="00111E62" w:rsidRPr="00111E62" w:rsidRDefault="00BA2282" w:rsidP="00111E62">
      <w:pPr>
        <w:spacing w:before="100" w:beforeAutospacing="1" w:after="100" w:afterAutospacing="1" w:line="240" w:lineRule="auto"/>
        <w:outlineLvl w:val="2"/>
        <w:rPr>
          <w:rFonts w:ascii="Arial" w:eastAsia="Times New Roman" w:hAnsi="Arial" w:cs="Arial"/>
          <w:b/>
          <w:bCs/>
          <w:lang w:eastAsia="fr-FR"/>
        </w:rPr>
      </w:pPr>
      <w:r>
        <w:rPr>
          <w:rFonts w:ascii="Arial" w:eastAsia="Times New Roman" w:hAnsi="Arial" w:cs="Arial"/>
          <w:b/>
          <w:bCs/>
          <w:lang w:eastAsia="fr-FR"/>
        </w:rPr>
        <w:t>5</w:t>
      </w:r>
      <w:r w:rsidR="00111E62" w:rsidRPr="00111E62">
        <w:rPr>
          <w:rFonts w:ascii="Arial" w:eastAsia="Times New Roman" w:hAnsi="Arial" w:cs="Arial"/>
          <w:b/>
          <w:bCs/>
          <w:lang w:eastAsia="fr-FR"/>
        </w:rPr>
        <w:t>.5. Marqueur transversal F1</w:t>
      </w:r>
    </w:p>
    <w:p w14:paraId="3FEEBA73" w14:textId="77777777" w:rsidR="00111E62" w:rsidRPr="00111E62" w:rsidRDefault="00111E62" w:rsidP="00BA2282">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 xml:space="preserve">Le marqueur transversal </w:t>
      </w:r>
      <w:r w:rsidRPr="00111E62">
        <w:rPr>
          <w:rFonts w:ascii="Arial" w:eastAsia="Times New Roman" w:hAnsi="Arial" w:cs="Arial"/>
          <w:b/>
          <w:bCs/>
          <w:lang w:eastAsia="fr-FR"/>
        </w:rPr>
        <w:t>F1</w:t>
      </w:r>
      <w:r w:rsidRPr="00111E62">
        <w:rPr>
          <w:rFonts w:ascii="Arial" w:eastAsia="Times New Roman" w:hAnsi="Arial" w:cs="Arial"/>
          <w:lang w:eastAsia="fr-FR"/>
        </w:rPr>
        <w:t>, consacré à l’apport du français à l’employabilité, ne nécessite pas nécessairement un dispositif de collecte autonome. Il pourra avantageusement être intégré comme module complémentaire dans les questionnaires portant sur les parcours de formation, l’insertion ou l’accès aux opportunités.</w:t>
      </w:r>
    </w:p>
    <w:p w14:paraId="44739C4E" w14:textId="77777777" w:rsidR="00111E62" w:rsidRPr="00111E62" w:rsidRDefault="00111E62" w:rsidP="00BA2282">
      <w:pPr>
        <w:spacing w:before="100" w:beforeAutospacing="1" w:after="100" w:afterAutospacing="1" w:line="240" w:lineRule="auto"/>
        <w:jc w:val="both"/>
        <w:rPr>
          <w:rFonts w:ascii="Arial" w:eastAsia="Times New Roman" w:hAnsi="Arial" w:cs="Arial"/>
          <w:lang w:eastAsia="fr-FR"/>
        </w:rPr>
      </w:pPr>
      <w:r w:rsidRPr="00111E62">
        <w:rPr>
          <w:rFonts w:ascii="Arial" w:eastAsia="Times New Roman" w:hAnsi="Arial" w:cs="Arial"/>
          <w:lang w:eastAsia="fr-FR"/>
        </w:rPr>
        <w:t>Cette solution permettra de mieux apprécier, dans les projets où cela est pertinent, la contribution du français à l’accès à l’emploi, à l’exercice d’une activité ou à la valorisation professionnelle des bénéficiaires.</w:t>
      </w:r>
    </w:p>
    <w:p w14:paraId="09C9ABA2" w14:textId="6E42C14B" w:rsidR="00111E62" w:rsidRPr="00111E62" w:rsidRDefault="00BA2282" w:rsidP="00111E62">
      <w:pPr>
        <w:spacing w:before="100" w:beforeAutospacing="1" w:after="100" w:afterAutospacing="1" w:line="240" w:lineRule="auto"/>
        <w:outlineLvl w:val="1"/>
        <w:rPr>
          <w:rFonts w:ascii="Arial" w:eastAsia="Times New Roman" w:hAnsi="Arial" w:cs="Arial"/>
          <w:b/>
          <w:bCs/>
          <w:lang w:eastAsia="fr-FR"/>
        </w:rPr>
      </w:pPr>
      <w:r>
        <w:rPr>
          <w:rFonts w:ascii="Arial" w:eastAsia="Times New Roman" w:hAnsi="Arial" w:cs="Arial"/>
          <w:b/>
          <w:bCs/>
          <w:lang w:eastAsia="fr-FR"/>
        </w:rPr>
        <w:t>6</w:t>
      </w:r>
      <w:r w:rsidR="00111E62" w:rsidRPr="00111E62">
        <w:rPr>
          <w:rFonts w:ascii="Arial" w:eastAsia="Times New Roman" w:hAnsi="Arial" w:cs="Arial"/>
          <w:b/>
          <w:bCs/>
          <w:lang w:eastAsia="fr-FR"/>
        </w:rPr>
        <w:t xml:space="preserve">. Calendrier </w:t>
      </w:r>
    </w:p>
    <w:p w14:paraId="0395677F" w14:textId="77777777" w:rsidR="005262AD" w:rsidRPr="005262AD" w:rsidRDefault="005262AD" w:rsidP="005262AD">
      <w:pPr>
        <w:pStyle w:val="NormalWeb"/>
        <w:jc w:val="both"/>
        <w:rPr>
          <w:rFonts w:ascii="Arial" w:hAnsi="Arial" w:cs="Arial"/>
        </w:rPr>
      </w:pPr>
      <w:r w:rsidRPr="005262AD">
        <w:rPr>
          <w:rFonts w:ascii="Arial" w:hAnsi="Arial" w:cs="Arial"/>
        </w:rPr>
        <w:t xml:space="preserve">Le calendrier de travail peut être structuré en </w:t>
      </w:r>
      <w:r w:rsidRPr="005262AD">
        <w:rPr>
          <w:rStyle w:val="lev"/>
          <w:rFonts w:ascii="Arial" w:hAnsi="Arial" w:cs="Arial"/>
        </w:rPr>
        <w:t>cinq séquences successives</w:t>
      </w:r>
      <w:r w:rsidRPr="005262AD">
        <w:rPr>
          <w:rFonts w:ascii="Arial" w:hAnsi="Arial" w:cs="Arial"/>
        </w:rPr>
        <w:t>.</w:t>
      </w:r>
    </w:p>
    <w:p w14:paraId="15B03706" w14:textId="77777777" w:rsidR="005262AD" w:rsidRPr="005262AD" w:rsidRDefault="005262AD" w:rsidP="005262AD">
      <w:pPr>
        <w:pStyle w:val="NormalWeb"/>
        <w:jc w:val="both"/>
        <w:rPr>
          <w:rFonts w:ascii="Arial" w:hAnsi="Arial" w:cs="Arial"/>
        </w:rPr>
      </w:pPr>
      <w:r w:rsidRPr="005262AD">
        <w:rPr>
          <w:rStyle w:val="lev"/>
          <w:rFonts w:ascii="Arial" w:hAnsi="Arial" w:cs="Arial"/>
        </w:rPr>
        <w:t>La première séquence</w:t>
      </w:r>
      <w:r w:rsidRPr="005262AD">
        <w:rPr>
          <w:rFonts w:ascii="Arial" w:hAnsi="Arial" w:cs="Arial"/>
        </w:rPr>
        <w:t xml:space="preserve">, couvrant le mois d’avril, sera consacrée au rassemblement et à la consolidation des bases </w:t>
      </w:r>
      <w:r w:rsidRPr="005262AD">
        <w:rPr>
          <w:rStyle w:val="lev"/>
          <w:rFonts w:ascii="Arial" w:hAnsi="Arial" w:cs="Arial"/>
        </w:rPr>
        <w:t>A1</w:t>
      </w:r>
      <w:r w:rsidRPr="005262AD">
        <w:rPr>
          <w:rFonts w:ascii="Arial" w:hAnsi="Arial" w:cs="Arial"/>
        </w:rPr>
        <w:t xml:space="preserve"> et </w:t>
      </w:r>
      <w:r w:rsidRPr="005262AD">
        <w:rPr>
          <w:rStyle w:val="lev"/>
          <w:rFonts w:ascii="Arial" w:hAnsi="Arial" w:cs="Arial"/>
        </w:rPr>
        <w:t>B1</w:t>
      </w:r>
      <w:r w:rsidRPr="005262AD">
        <w:rPr>
          <w:rFonts w:ascii="Arial" w:hAnsi="Arial" w:cs="Arial"/>
        </w:rPr>
        <w:t>. Il s’agira d’adresser aux équipes projets et aux partenaires une demande standardisée de transmission des données, de récupérer les fichiers existants, d’en harmoniser la structure, de supprimer les doublons et de constituer les bases de travail qui serviront de socle à l’ensemble du dispositif de collecte.</w:t>
      </w:r>
    </w:p>
    <w:p w14:paraId="243BAA63" w14:textId="77777777" w:rsidR="005262AD" w:rsidRPr="005262AD" w:rsidRDefault="005262AD" w:rsidP="005262AD">
      <w:pPr>
        <w:pStyle w:val="NormalWeb"/>
        <w:jc w:val="both"/>
        <w:rPr>
          <w:rFonts w:ascii="Arial" w:hAnsi="Arial" w:cs="Arial"/>
        </w:rPr>
      </w:pPr>
      <w:r w:rsidRPr="005262AD">
        <w:rPr>
          <w:rStyle w:val="lev"/>
          <w:rFonts w:ascii="Arial" w:hAnsi="Arial" w:cs="Arial"/>
        </w:rPr>
        <w:t>La deuxième séquence</w:t>
      </w:r>
      <w:r w:rsidRPr="005262AD">
        <w:rPr>
          <w:rFonts w:ascii="Arial" w:hAnsi="Arial" w:cs="Arial"/>
        </w:rPr>
        <w:t>, à cheval sur la fin du mois d’avril et le début du mois de mai, portera sur la préparation méthodologique des outils. À ce stade, il conviendra de finaliser les questionnaires, d’arrêter les critères d’échantillonnage, de définir les modules transversaux, de structurer les tableaux de suivi documentaire et, le cas échéant, de tester les outils sur un nombre limité de cas afin d’en vérifier la pertinence, la lisibilité et la faisabilité.</w:t>
      </w:r>
    </w:p>
    <w:p w14:paraId="20045D33" w14:textId="58990551" w:rsidR="005262AD" w:rsidRPr="005262AD" w:rsidRDefault="005262AD" w:rsidP="005262AD">
      <w:pPr>
        <w:pStyle w:val="NormalWeb"/>
        <w:jc w:val="both"/>
        <w:rPr>
          <w:rFonts w:ascii="Arial" w:hAnsi="Arial" w:cs="Arial"/>
        </w:rPr>
      </w:pPr>
      <w:r w:rsidRPr="005262AD">
        <w:rPr>
          <w:rStyle w:val="lev"/>
          <w:rFonts w:ascii="Arial" w:hAnsi="Arial" w:cs="Arial"/>
        </w:rPr>
        <w:lastRenderedPageBreak/>
        <w:t>La troisième séquence</w:t>
      </w:r>
      <w:r w:rsidRPr="005262AD">
        <w:rPr>
          <w:rFonts w:ascii="Arial" w:hAnsi="Arial" w:cs="Arial"/>
        </w:rPr>
        <w:t>, couvrant la seconde moitié du mois de mai, sera consacrée à la collecte proprement dite. Elle comprendra l’administration des enquêtes auprès des bénéficiaires et des structures, la collecte des informations documentaires relatives aux indicateurs institutionnels, les relances ciblées, le suivi des taux de réponse ainsi que les premiers contrôles de qualité destinés à sécuriser la fiabilité des données recueillies.</w:t>
      </w:r>
    </w:p>
    <w:p w14:paraId="62784112" w14:textId="3E4EBFC1" w:rsidR="005262AD" w:rsidRPr="005262AD" w:rsidRDefault="005262AD" w:rsidP="005262AD">
      <w:pPr>
        <w:pStyle w:val="NormalWeb"/>
        <w:jc w:val="both"/>
        <w:rPr>
          <w:rFonts w:ascii="Arial" w:hAnsi="Arial" w:cs="Arial"/>
        </w:rPr>
      </w:pPr>
      <w:r w:rsidRPr="005262AD">
        <w:rPr>
          <w:rStyle w:val="lev"/>
          <w:rFonts w:ascii="Arial" w:hAnsi="Arial" w:cs="Arial"/>
        </w:rPr>
        <w:t>La quatrième séquence</w:t>
      </w:r>
      <w:r w:rsidRPr="005262AD">
        <w:rPr>
          <w:rFonts w:ascii="Arial" w:hAnsi="Arial" w:cs="Arial"/>
        </w:rPr>
        <w:t xml:space="preserve"> </w:t>
      </w:r>
      <w:r>
        <w:rPr>
          <w:rFonts w:ascii="Arial" w:hAnsi="Arial" w:cs="Arial"/>
        </w:rPr>
        <w:t xml:space="preserve">durant </w:t>
      </w:r>
      <w:r w:rsidRPr="005262AD">
        <w:rPr>
          <w:rFonts w:ascii="Arial" w:hAnsi="Arial" w:cs="Arial"/>
        </w:rPr>
        <w:t>la première quinzaine de juin portera sur le traitement des données, le calcul des indicateurs et la documentation des résultats. Elle permettra de nettoyer les bases finales, de calculer les premiers résultats, de produire une synthèse intermédiaire et d’identifier les éventuelles lacunes nécessitant des compléments ultérieurs.</w:t>
      </w:r>
    </w:p>
    <w:p w14:paraId="3A653DAF" w14:textId="77777777" w:rsidR="005262AD" w:rsidRPr="005262AD" w:rsidRDefault="005262AD" w:rsidP="005262AD">
      <w:pPr>
        <w:pStyle w:val="NormalWeb"/>
        <w:jc w:val="both"/>
        <w:rPr>
          <w:rFonts w:ascii="Arial" w:hAnsi="Arial" w:cs="Arial"/>
        </w:rPr>
      </w:pPr>
      <w:r w:rsidRPr="005262AD">
        <w:rPr>
          <w:rStyle w:val="lev"/>
          <w:rFonts w:ascii="Arial" w:hAnsi="Arial" w:cs="Arial"/>
        </w:rPr>
        <w:t>La cinquième séquence</w:t>
      </w:r>
      <w:r w:rsidRPr="005262AD">
        <w:rPr>
          <w:rFonts w:ascii="Arial" w:hAnsi="Arial" w:cs="Arial"/>
        </w:rPr>
        <w:t>, amorcée à partir de la seconde moitié de juin, aura pour finalité d’ancrer durablement la collecte des données dans un processus permanent de suivi, reposant sur une collecte continue, organisée et systématique des informations utiles à la documentation des indicateurs. Il s’agira, à ce stade, de tirer les enseignements de la phase initiale de collecte, de stabiliser les outils, de clarifier les circuits de remontée de l’information et d’installer progressivement un mécanisme pérenne d’alimentation du cadre de suivi.</w:t>
      </w:r>
    </w:p>
    <w:tbl>
      <w:tblPr>
        <w:tblStyle w:val="Grilledutableau"/>
        <w:tblW w:w="9534" w:type="dxa"/>
        <w:tblLook w:val="04A0" w:firstRow="1" w:lastRow="0" w:firstColumn="1" w:lastColumn="0" w:noHBand="0" w:noVBand="1"/>
      </w:tblPr>
      <w:tblGrid>
        <w:gridCol w:w="1178"/>
        <w:gridCol w:w="1720"/>
        <w:gridCol w:w="4310"/>
        <w:gridCol w:w="2326"/>
      </w:tblGrid>
      <w:tr w:rsidR="00111E62" w:rsidRPr="005871F9" w14:paraId="6B2407B6" w14:textId="77777777" w:rsidTr="005871F9">
        <w:tc>
          <w:tcPr>
            <w:tcW w:w="0" w:type="auto"/>
            <w:hideMark/>
          </w:tcPr>
          <w:p w14:paraId="2E6CF01C" w14:textId="77777777" w:rsidR="00111E62" w:rsidRPr="00111E62" w:rsidRDefault="00111E62" w:rsidP="00111E62">
            <w:pPr>
              <w:jc w:val="center"/>
              <w:rPr>
                <w:rFonts w:ascii="Arial" w:eastAsia="Times New Roman" w:hAnsi="Arial" w:cs="Arial"/>
                <w:b/>
                <w:bCs/>
                <w:lang w:eastAsia="fr-FR"/>
              </w:rPr>
            </w:pPr>
            <w:r w:rsidRPr="00111E62">
              <w:rPr>
                <w:rFonts w:ascii="Arial" w:eastAsia="Times New Roman" w:hAnsi="Arial" w:cs="Arial"/>
                <w:b/>
                <w:bCs/>
                <w:lang w:eastAsia="fr-FR"/>
              </w:rPr>
              <w:t>Période</w:t>
            </w:r>
          </w:p>
        </w:tc>
        <w:tc>
          <w:tcPr>
            <w:tcW w:w="0" w:type="auto"/>
            <w:hideMark/>
          </w:tcPr>
          <w:p w14:paraId="24442D41" w14:textId="77777777" w:rsidR="00111E62" w:rsidRPr="00111E62" w:rsidRDefault="00111E62" w:rsidP="00111E62">
            <w:pPr>
              <w:jc w:val="center"/>
              <w:rPr>
                <w:rFonts w:ascii="Arial" w:eastAsia="Times New Roman" w:hAnsi="Arial" w:cs="Arial"/>
                <w:b/>
                <w:bCs/>
                <w:lang w:eastAsia="fr-FR"/>
              </w:rPr>
            </w:pPr>
            <w:r w:rsidRPr="00111E62">
              <w:rPr>
                <w:rFonts w:ascii="Arial" w:eastAsia="Times New Roman" w:hAnsi="Arial" w:cs="Arial"/>
                <w:b/>
                <w:bCs/>
                <w:lang w:eastAsia="fr-FR"/>
              </w:rPr>
              <w:t>Séquence</w:t>
            </w:r>
          </w:p>
        </w:tc>
        <w:tc>
          <w:tcPr>
            <w:tcW w:w="4310" w:type="dxa"/>
            <w:hideMark/>
          </w:tcPr>
          <w:p w14:paraId="6688CA3D" w14:textId="77777777" w:rsidR="00111E62" w:rsidRPr="00111E62" w:rsidRDefault="00111E62" w:rsidP="00111E62">
            <w:pPr>
              <w:jc w:val="center"/>
              <w:rPr>
                <w:rFonts w:ascii="Arial" w:eastAsia="Times New Roman" w:hAnsi="Arial" w:cs="Arial"/>
                <w:b/>
                <w:bCs/>
                <w:lang w:eastAsia="fr-FR"/>
              </w:rPr>
            </w:pPr>
            <w:r w:rsidRPr="00111E62">
              <w:rPr>
                <w:rFonts w:ascii="Arial" w:eastAsia="Times New Roman" w:hAnsi="Arial" w:cs="Arial"/>
                <w:b/>
                <w:bCs/>
                <w:lang w:eastAsia="fr-FR"/>
              </w:rPr>
              <w:t>Activités principales</w:t>
            </w:r>
          </w:p>
        </w:tc>
        <w:tc>
          <w:tcPr>
            <w:tcW w:w="0" w:type="auto"/>
            <w:hideMark/>
          </w:tcPr>
          <w:p w14:paraId="28C365C5" w14:textId="77777777" w:rsidR="00111E62" w:rsidRPr="00111E62" w:rsidRDefault="00111E62" w:rsidP="00111E62">
            <w:pPr>
              <w:jc w:val="center"/>
              <w:rPr>
                <w:rFonts w:ascii="Arial" w:eastAsia="Times New Roman" w:hAnsi="Arial" w:cs="Arial"/>
                <w:b/>
                <w:bCs/>
                <w:lang w:eastAsia="fr-FR"/>
              </w:rPr>
            </w:pPr>
            <w:r w:rsidRPr="00111E62">
              <w:rPr>
                <w:rFonts w:ascii="Arial" w:eastAsia="Times New Roman" w:hAnsi="Arial" w:cs="Arial"/>
                <w:b/>
                <w:bCs/>
                <w:lang w:eastAsia="fr-FR"/>
              </w:rPr>
              <w:t>Résultats attendus</w:t>
            </w:r>
          </w:p>
        </w:tc>
      </w:tr>
      <w:tr w:rsidR="00EE0C80" w:rsidRPr="00EE0C80" w14:paraId="0BAE3FF5" w14:textId="77777777" w:rsidTr="001E07C3">
        <w:tc>
          <w:tcPr>
            <w:tcW w:w="0" w:type="auto"/>
          </w:tcPr>
          <w:p w14:paraId="02923659" w14:textId="553B5F09" w:rsidR="00EE0C80" w:rsidRPr="00EE0C80" w:rsidRDefault="00EE0C80" w:rsidP="00111E62">
            <w:pPr>
              <w:jc w:val="center"/>
              <w:rPr>
                <w:rFonts w:ascii="Arial" w:eastAsia="Times New Roman" w:hAnsi="Arial" w:cs="Arial"/>
                <w:b/>
                <w:bCs/>
                <w:highlight w:val="yellow"/>
                <w:lang w:eastAsia="fr-FR"/>
              </w:rPr>
            </w:pPr>
            <w:r w:rsidRPr="00EE0C80">
              <w:rPr>
                <w:rFonts w:ascii="Arial" w:eastAsia="Times New Roman" w:hAnsi="Arial" w:cs="Arial"/>
                <w:b/>
                <w:bCs/>
                <w:highlight w:val="yellow"/>
                <w:lang w:eastAsia="fr-FR"/>
              </w:rPr>
              <w:t>Phase 1</w:t>
            </w:r>
          </w:p>
        </w:tc>
        <w:tc>
          <w:tcPr>
            <w:tcW w:w="8356" w:type="dxa"/>
            <w:gridSpan w:val="3"/>
          </w:tcPr>
          <w:p w14:paraId="1D100C22" w14:textId="47815B3E" w:rsidR="00EE0C80" w:rsidRPr="00EE0C80" w:rsidRDefault="00EE0C80" w:rsidP="00111E62">
            <w:pPr>
              <w:jc w:val="center"/>
              <w:rPr>
                <w:rFonts w:ascii="Arial" w:eastAsia="Times New Roman" w:hAnsi="Arial" w:cs="Arial"/>
                <w:b/>
                <w:bCs/>
                <w:lang w:eastAsia="fr-FR"/>
              </w:rPr>
            </w:pPr>
            <w:r w:rsidRPr="00EE0C80">
              <w:rPr>
                <w:rFonts w:ascii="Arial" w:eastAsia="Times New Roman" w:hAnsi="Arial" w:cs="Arial"/>
                <w:b/>
                <w:bCs/>
                <w:color w:val="000000"/>
                <w:highlight w:val="yellow"/>
                <w:bdr w:val="none" w:sz="0" w:space="0" w:color="auto" w:frame="1"/>
                <w:lang w:eastAsia="fr-FR"/>
              </w:rPr>
              <w:t>P</w:t>
            </w:r>
            <w:r w:rsidRPr="00607E6C">
              <w:rPr>
                <w:rFonts w:ascii="Arial" w:eastAsia="Times New Roman" w:hAnsi="Arial" w:cs="Arial"/>
                <w:b/>
                <w:bCs/>
                <w:color w:val="000000"/>
                <w:highlight w:val="yellow"/>
                <w:bdr w:val="none" w:sz="0" w:space="0" w:color="auto" w:frame="1"/>
                <w:lang w:eastAsia="fr-FR"/>
              </w:rPr>
              <w:t xml:space="preserve">remière consolidation </w:t>
            </w:r>
            <w:r w:rsidRPr="00EE0C80">
              <w:rPr>
                <w:rFonts w:ascii="Arial" w:eastAsia="Times New Roman" w:hAnsi="Arial" w:cs="Arial"/>
                <w:b/>
                <w:bCs/>
                <w:color w:val="000000"/>
                <w:highlight w:val="yellow"/>
                <w:bdr w:val="none" w:sz="0" w:space="0" w:color="auto" w:frame="1"/>
                <w:lang w:eastAsia="fr-FR"/>
              </w:rPr>
              <w:t>des données et analyse</w:t>
            </w:r>
          </w:p>
        </w:tc>
      </w:tr>
      <w:tr w:rsidR="00111E62" w:rsidRPr="005871F9" w14:paraId="50BDD48C" w14:textId="77777777" w:rsidTr="005871F9">
        <w:tc>
          <w:tcPr>
            <w:tcW w:w="0" w:type="auto"/>
            <w:hideMark/>
          </w:tcPr>
          <w:p w14:paraId="6048C674"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6 – 10 avril 2026</w:t>
            </w:r>
          </w:p>
        </w:tc>
        <w:tc>
          <w:tcPr>
            <w:tcW w:w="0" w:type="auto"/>
            <w:hideMark/>
          </w:tcPr>
          <w:p w14:paraId="62F23B5C"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Lancement</w:t>
            </w:r>
          </w:p>
        </w:tc>
        <w:tc>
          <w:tcPr>
            <w:tcW w:w="4310" w:type="dxa"/>
            <w:hideMark/>
          </w:tcPr>
          <w:p w14:paraId="01DC35DB" w14:textId="4514F8E5"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Validation interne de la démarche</w:t>
            </w:r>
            <w:r w:rsidR="00EE0C80">
              <w:rPr>
                <w:rFonts w:ascii="Arial" w:eastAsia="Times New Roman" w:hAnsi="Arial" w:cs="Arial"/>
                <w:lang w:eastAsia="fr-FR"/>
              </w:rPr>
              <w:t> </w:t>
            </w:r>
            <w:r w:rsidRPr="00111E62">
              <w:rPr>
                <w:rFonts w:ascii="Arial" w:eastAsia="Times New Roman" w:hAnsi="Arial" w:cs="Arial"/>
                <w:lang w:eastAsia="fr-FR"/>
              </w:rPr>
              <w:t>; clarification du périmètre des projets et indicateurs concernés</w:t>
            </w:r>
            <w:r w:rsidR="00EE0C80">
              <w:rPr>
                <w:rFonts w:ascii="Arial" w:eastAsia="Times New Roman" w:hAnsi="Arial" w:cs="Arial"/>
                <w:lang w:eastAsia="fr-FR"/>
              </w:rPr>
              <w:t> </w:t>
            </w:r>
            <w:r w:rsidRPr="00111E62">
              <w:rPr>
                <w:rFonts w:ascii="Arial" w:eastAsia="Times New Roman" w:hAnsi="Arial" w:cs="Arial"/>
                <w:lang w:eastAsia="fr-FR"/>
              </w:rPr>
              <w:t>; envoi d’une note de cadrage aux équipes projets et partenaires</w:t>
            </w:r>
          </w:p>
        </w:tc>
        <w:tc>
          <w:tcPr>
            <w:tcW w:w="0" w:type="auto"/>
            <w:hideMark/>
          </w:tcPr>
          <w:p w14:paraId="780AC894" w14:textId="6A8DFB58"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Démarche partagée</w:t>
            </w:r>
            <w:r w:rsidR="00EE0C80">
              <w:rPr>
                <w:rFonts w:ascii="Arial" w:eastAsia="Times New Roman" w:hAnsi="Arial" w:cs="Arial"/>
                <w:lang w:eastAsia="fr-FR"/>
              </w:rPr>
              <w:t> </w:t>
            </w:r>
            <w:r w:rsidRPr="00111E62">
              <w:rPr>
                <w:rFonts w:ascii="Arial" w:eastAsia="Times New Roman" w:hAnsi="Arial" w:cs="Arial"/>
                <w:lang w:eastAsia="fr-FR"/>
              </w:rPr>
              <w:t>; périmètre validé</w:t>
            </w:r>
            <w:r w:rsidR="00EE0C80">
              <w:rPr>
                <w:rFonts w:ascii="Arial" w:eastAsia="Times New Roman" w:hAnsi="Arial" w:cs="Arial"/>
                <w:lang w:eastAsia="fr-FR"/>
              </w:rPr>
              <w:t> </w:t>
            </w:r>
            <w:r w:rsidRPr="00111E62">
              <w:rPr>
                <w:rFonts w:ascii="Arial" w:eastAsia="Times New Roman" w:hAnsi="Arial" w:cs="Arial"/>
                <w:lang w:eastAsia="fr-FR"/>
              </w:rPr>
              <w:t>; demande de données officiellement lancée</w:t>
            </w:r>
          </w:p>
        </w:tc>
      </w:tr>
      <w:tr w:rsidR="00111E62" w:rsidRPr="005871F9" w14:paraId="06B95208" w14:textId="77777777" w:rsidTr="005871F9">
        <w:tc>
          <w:tcPr>
            <w:tcW w:w="0" w:type="auto"/>
            <w:hideMark/>
          </w:tcPr>
          <w:p w14:paraId="1D8FD64E"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13 – 24 avril 2026</w:t>
            </w:r>
          </w:p>
        </w:tc>
        <w:tc>
          <w:tcPr>
            <w:tcW w:w="0" w:type="auto"/>
            <w:hideMark/>
          </w:tcPr>
          <w:p w14:paraId="321D20D7"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Constitution des bases A1 et B1</w:t>
            </w:r>
          </w:p>
        </w:tc>
        <w:tc>
          <w:tcPr>
            <w:tcW w:w="4310" w:type="dxa"/>
            <w:hideMark/>
          </w:tcPr>
          <w:p w14:paraId="22819BEB" w14:textId="01DECEE9"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Collecte des listes nominatives et bases existantes</w:t>
            </w:r>
            <w:r w:rsidR="00EE0C80">
              <w:rPr>
                <w:rFonts w:ascii="Arial" w:eastAsia="Times New Roman" w:hAnsi="Arial" w:cs="Arial"/>
                <w:lang w:eastAsia="fr-FR"/>
              </w:rPr>
              <w:t> </w:t>
            </w:r>
            <w:r w:rsidRPr="00111E62">
              <w:rPr>
                <w:rFonts w:ascii="Arial" w:eastAsia="Times New Roman" w:hAnsi="Arial" w:cs="Arial"/>
                <w:lang w:eastAsia="fr-FR"/>
              </w:rPr>
              <w:t>; récupération des données issues des projets</w:t>
            </w:r>
            <w:r w:rsidR="00EE0C80">
              <w:rPr>
                <w:rFonts w:ascii="Arial" w:eastAsia="Times New Roman" w:hAnsi="Arial" w:cs="Arial"/>
                <w:lang w:eastAsia="fr-FR"/>
              </w:rPr>
              <w:t> </w:t>
            </w:r>
            <w:r w:rsidRPr="00111E62">
              <w:rPr>
                <w:rFonts w:ascii="Arial" w:eastAsia="Times New Roman" w:hAnsi="Arial" w:cs="Arial"/>
                <w:lang w:eastAsia="fr-FR"/>
              </w:rPr>
              <w:t>; compilation des informations disponibles sur les jeunes formés et les activités économiques appuyées</w:t>
            </w:r>
          </w:p>
        </w:tc>
        <w:tc>
          <w:tcPr>
            <w:tcW w:w="0" w:type="auto"/>
            <w:hideMark/>
          </w:tcPr>
          <w:p w14:paraId="6147489B"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Bases brutes A1 et B1 réunies</w:t>
            </w:r>
          </w:p>
        </w:tc>
      </w:tr>
      <w:tr w:rsidR="00111E62" w:rsidRPr="005871F9" w14:paraId="3B7CDCDE" w14:textId="77777777" w:rsidTr="005871F9">
        <w:tc>
          <w:tcPr>
            <w:tcW w:w="0" w:type="auto"/>
            <w:hideMark/>
          </w:tcPr>
          <w:p w14:paraId="0E8CA9B7"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20 – 30 avril 2026</w:t>
            </w:r>
          </w:p>
        </w:tc>
        <w:tc>
          <w:tcPr>
            <w:tcW w:w="0" w:type="auto"/>
          </w:tcPr>
          <w:p w14:paraId="45579CC9" w14:textId="0A28856C"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Préparation des outils</w:t>
            </w:r>
          </w:p>
        </w:tc>
        <w:tc>
          <w:tcPr>
            <w:tcW w:w="4310" w:type="dxa"/>
          </w:tcPr>
          <w:p w14:paraId="4D26938D" w14:textId="3B39EFB1"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Élaboration ou finalisation des questionnaires bénéficiaires</w:t>
            </w:r>
            <w:r w:rsidR="00EE0C80">
              <w:rPr>
                <w:rFonts w:ascii="Arial" w:eastAsia="Times New Roman" w:hAnsi="Arial" w:cs="Arial"/>
                <w:lang w:eastAsia="fr-FR"/>
              </w:rPr>
              <w:t> </w:t>
            </w:r>
            <w:r w:rsidRPr="00111E62">
              <w:rPr>
                <w:rFonts w:ascii="Arial" w:eastAsia="Times New Roman" w:hAnsi="Arial" w:cs="Arial"/>
                <w:lang w:eastAsia="fr-FR"/>
              </w:rPr>
              <w:t>; élaboration des modules spécifiques pour A4, A5, B2, B3, C2 à C5 et F1</w:t>
            </w:r>
            <w:r w:rsidR="00EE0C80">
              <w:rPr>
                <w:rFonts w:ascii="Arial" w:eastAsia="Times New Roman" w:hAnsi="Arial" w:cs="Arial"/>
                <w:lang w:eastAsia="fr-FR"/>
              </w:rPr>
              <w:t> </w:t>
            </w:r>
            <w:r w:rsidRPr="00111E62">
              <w:rPr>
                <w:rFonts w:ascii="Arial" w:eastAsia="Times New Roman" w:hAnsi="Arial" w:cs="Arial"/>
                <w:lang w:eastAsia="fr-FR"/>
              </w:rPr>
              <w:t>; préparation de la grille documentaire pour D1 à D3</w:t>
            </w:r>
          </w:p>
        </w:tc>
        <w:tc>
          <w:tcPr>
            <w:tcW w:w="0" w:type="auto"/>
          </w:tcPr>
          <w:p w14:paraId="5BF75B77" w14:textId="5D841B2B"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Outils de collecte disponibles</w:t>
            </w:r>
          </w:p>
        </w:tc>
      </w:tr>
      <w:tr w:rsidR="00111E62" w:rsidRPr="005871F9" w14:paraId="09D68E38" w14:textId="77777777" w:rsidTr="005871F9">
        <w:tc>
          <w:tcPr>
            <w:tcW w:w="0" w:type="auto"/>
            <w:hideMark/>
          </w:tcPr>
          <w:p w14:paraId="4031F50F"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27 avril – 8 mai 2026</w:t>
            </w:r>
          </w:p>
        </w:tc>
        <w:tc>
          <w:tcPr>
            <w:tcW w:w="0" w:type="auto"/>
          </w:tcPr>
          <w:p w14:paraId="57931411" w14:textId="645BCCDB"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Lancement de la collecte</w:t>
            </w:r>
          </w:p>
        </w:tc>
        <w:tc>
          <w:tcPr>
            <w:tcW w:w="4310" w:type="dxa"/>
          </w:tcPr>
          <w:p w14:paraId="4075C54A" w14:textId="0A1F9D4F"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Démarrage des enquêtes sur les bénéficiaires et structures</w:t>
            </w:r>
            <w:r w:rsidR="00EE0C80">
              <w:rPr>
                <w:rFonts w:ascii="Arial" w:eastAsia="Times New Roman" w:hAnsi="Arial" w:cs="Arial"/>
                <w:lang w:eastAsia="fr-FR"/>
              </w:rPr>
              <w:t> </w:t>
            </w:r>
            <w:r w:rsidRPr="00111E62">
              <w:rPr>
                <w:rFonts w:ascii="Arial" w:eastAsia="Times New Roman" w:hAnsi="Arial" w:cs="Arial"/>
                <w:lang w:eastAsia="fr-FR"/>
              </w:rPr>
              <w:t>; lancement de la collecte documentaire pour D1</w:t>
            </w:r>
            <w:r w:rsidR="00EE0C80">
              <w:rPr>
                <w:rFonts w:ascii="Arial" w:eastAsia="Times New Roman" w:hAnsi="Arial" w:cs="Arial"/>
                <w:lang w:eastAsia="fr-FR"/>
              </w:rPr>
              <w:t> </w:t>
            </w:r>
            <w:r w:rsidRPr="00111E62">
              <w:rPr>
                <w:rFonts w:ascii="Arial" w:eastAsia="Times New Roman" w:hAnsi="Arial" w:cs="Arial"/>
                <w:lang w:eastAsia="fr-FR"/>
              </w:rPr>
              <w:t>; mobilisation des équipes projets pour les informations sur C et D</w:t>
            </w:r>
            <w:r w:rsidR="00EE0C80">
              <w:rPr>
                <w:rFonts w:ascii="Arial" w:eastAsia="Times New Roman" w:hAnsi="Arial" w:cs="Arial"/>
                <w:lang w:eastAsia="fr-FR"/>
              </w:rPr>
              <w:t> </w:t>
            </w:r>
            <w:r w:rsidRPr="00111E62">
              <w:rPr>
                <w:rFonts w:ascii="Arial" w:eastAsia="Times New Roman" w:hAnsi="Arial" w:cs="Arial"/>
                <w:lang w:eastAsia="fr-FR"/>
              </w:rPr>
              <w:t>; première vague de contacts</w:t>
            </w:r>
          </w:p>
        </w:tc>
        <w:tc>
          <w:tcPr>
            <w:tcW w:w="0" w:type="auto"/>
          </w:tcPr>
          <w:p w14:paraId="011E7E0E" w14:textId="0B2E3E6A"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Collecte effectivement lancée sur tous les volets</w:t>
            </w:r>
          </w:p>
        </w:tc>
      </w:tr>
      <w:tr w:rsidR="00111E62" w:rsidRPr="005871F9" w14:paraId="0D9A52FC" w14:textId="77777777" w:rsidTr="005871F9">
        <w:tc>
          <w:tcPr>
            <w:tcW w:w="0" w:type="auto"/>
            <w:hideMark/>
          </w:tcPr>
          <w:p w14:paraId="071AB77D"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4 – 12 mai 2026</w:t>
            </w:r>
          </w:p>
        </w:tc>
        <w:tc>
          <w:tcPr>
            <w:tcW w:w="0" w:type="auto"/>
          </w:tcPr>
          <w:p w14:paraId="26FDFDC8" w14:textId="5AF1CBFC"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Contrôle qualité</w:t>
            </w:r>
          </w:p>
        </w:tc>
        <w:tc>
          <w:tcPr>
            <w:tcW w:w="4310" w:type="dxa"/>
          </w:tcPr>
          <w:p w14:paraId="78FDA8CC" w14:textId="5F99FC3F"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Vérification de la cohérence des réponses</w:t>
            </w:r>
            <w:r w:rsidR="00EE0C80">
              <w:rPr>
                <w:rFonts w:ascii="Arial" w:eastAsia="Times New Roman" w:hAnsi="Arial" w:cs="Arial"/>
                <w:lang w:eastAsia="fr-FR"/>
              </w:rPr>
              <w:t> </w:t>
            </w:r>
            <w:r w:rsidRPr="00111E62">
              <w:rPr>
                <w:rFonts w:ascii="Arial" w:eastAsia="Times New Roman" w:hAnsi="Arial" w:cs="Arial"/>
                <w:lang w:eastAsia="fr-FR"/>
              </w:rPr>
              <w:t>; contrôle des bases</w:t>
            </w:r>
            <w:r w:rsidR="00EE0C80">
              <w:rPr>
                <w:rFonts w:ascii="Arial" w:eastAsia="Times New Roman" w:hAnsi="Arial" w:cs="Arial"/>
                <w:lang w:eastAsia="fr-FR"/>
              </w:rPr>
              <w:t> </w:t>
            </w:r>
            <w:r w:rsidRPr="00111E62">
              <w:rPr>
                <w:rFonts w:ascii="Arial" w:eastAsia="Times New Roman" w:hAnsi="Arial" w:cs="Arial"/>
                <w:lang w:eastAsia="fr-FR"/>
              </w:rPr>
              <w:t>; traitement des non-réponses</w:t>
            </w:r>
            <w:r w:rsidR="00EE0C80">
              <w:rPr>
                <w:rFonts w:ascii="Arial" w:eastAsia="Times New Roman" w:hAnsi="Arial" w:cs="Arial"/>
                <w:lang w:eastAsia="fr-FR"/>
              </w:rPr>
              <w:t> </w:t>
            </w:r>
            <w:r w:rsidRPr="00111E62">
              <w:rPr>
                <w:rFonts w:ascii="Arial" w:eastAsia="Times New Roman" w:hAnsi="Arial" w:cs="Arial"/>
                <w:lang w:eastAsia="fr-FR"/>
              </w:rPr>
              <w:t>; arbitrage sur les cas incomplets</w:t>
            </w:r>
            <w:r w:rsidR="00EE0C80">
              <w:rPr>
                <w:rFonts w:ascii="Arial" w:eastAsia="Times New Roman" w:hAnsi="Arial" w:cs="Arial"/>
                <w:lang w:eastAsia="fr-FR"/>
              </w:rPr>
              <w:t> </w:t>
            </w:r>
            <w:r w:rsidRPr="00111E62">
              <w:rPr>
                <w:rFonts w:ascii="Arial" w:eastAsia="Times New Roman" w:hAnsi="Arial" w:cs="Arial"/>
                <w:lang w:eastAsia="fr-FR"/>
              </w:rPr>
              <w:t>; validation des pièces de preuve disponibles</w:t>
            </w:r>
          </w:p>
        </w:tc>
        <w:tc>
          <w:tcPr>
            <w:tcW w:w="0" w:type="auto"/>
          </w:tcPr>
          <w:p w14:paraId="36419914" w14:textId="5EC09C6E"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Bases stabilisées et exploitables</w:t>
            </w:r>
          </w:p>
        </w:tc>
      </w:tr>
      <w:tr w:rsidR="00111E62" w:rsidRPr="005871F9" w14:paraId="1D3585C3" w14:textId="77777777" w:rsidTr="005871F9">
        <w:tc>
          <w:tcPr>
            <w:tcW w:w="0" w:type="auto"/>
            <w:hideMark/>
          </w:tcPr>
          <w:p w14:paraId="746E424B" w14:textId="77777777"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11 – 15 mai 2026</w:t>
            </w:r>
          </w:p>
        </w:tc>
        <w:tc>
          <w:tcPr>
            <w:tcW w:w="0" w:type="auto"/>
          </w:tcPr>
          <w:p w14:paraId="44F232A7" w14:textId="36C477D7"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Calcul et consolidation</w:t>
            </w:r>
          </w:p>
        </w:tc>
        <w:tc>
          <w:tcPr>
            <w:tcW w:w="4310" w:type="dxa"/>
          </w:tcPr>
          <w:p w14:paraId="1A8E10CE" w14:textId="3836E8A0"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 xml:space="preserve">Calcul des indicateurs </w:t>
            </w:r>
            <w:proofErr w:type="spellStart"/>
            <w:r w:rsidRPr="00111E62">
              <w:rPr>
                <w:rFonts w:ascii="Arial" w:eastAsia="Times New Roman" w:hAnsi="Arial" w:cs="Arial"/>
                <w:lang w:eastAsia="fr-FR"/>
              </w:rPr>
              <w:t>renseignables</w:t>
            </w:r>
            <w:proofErr w:type="spellEnd"/>
            <w:r w:rsidR="00EE0C80">
              <w:rPr>
                <w:rFonts w:ascii="Arial" w:eastAsia="Times New Roman" w:hAnsi="Arial" w:cs="Arial"/>
                <w:lang w:eastAsia="fr-FR"/>
              </w:rPr>
              <w:t> </w:t>
            </w:r>
            <w:r w:rsidRPr="00111E62">
              <w:rPr>
                <w:rFonts w:ascii="Arial" w:eastAsia="Times New Roman" w:hAnsi="Arial" w:cs="Arial"/>
                <w:lang w:eastAsia="fr-FR"/>
              </w:rPr>
              <w:t xml:space="preserve">; consolidation par projet, catégorie et </w:t>
            </w:r>
            <w:r w:rsidRPr="00111E62">
              <w:rPr>
                <w:rFonts w:ascii="Arial" w:eastAsia="Times New Roman" w:hAnsi="Arial" w:cs="Arial"/>
                <w:lang w:eastAsia="fr-FR"/>
              </w:rPr>
              <w:lastRenderedPageBreak/>
              <w:t>bloc</w:t>
            </w:r>
            <w:r w:rsidR="00EE0C80">
              <w:rPr>
                <w:rFonts w:ascii="Arial" w:eastAsia="Times New Roman" w:hAnsi="Arial" w:cs="Arial"/>
                <w:lang w:eastAsia="fr-FR"/>
              </w:rPr>
              <w:t> </w:t>
            </w:r>
            <w:r w:rsidRPr="00111E62">
              <w:rPr>
                <w:rFonts w:ascii="Arial" w:eastAsia="Times New Roman" w:hAnsi="Arial" w:cs="Arial"/>
                <w:lang w:eastAsia="fr-FR"/>
              </w:rPr>
              <w:t>; préparation d’une première lecture transversale</w:t>
            </w:r>
          </w:p>
        </w:tc>
        <w:tc>
          <w:tcPr>
            <w:tcW w:w="0" w:type="auto"/>
          </w:tcPr>
          <w:p w14:paraId="57276409" w14:textId="00AB6C29"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lastRenderedPageBreak/>
              <w:t>Tableau consolidé des indicateurs produit</w:t>
            </w:r>
          </w:p>
        </w:tc>
      </w:tr>
      <w:tr w:rsidR="00111E62" w:rsidRPr="005871F9" w14:paraId="10F9E59D" w14:textId="77777777" w:rsidTr="005871F9">
        <w:tc>
          <w:tcPr>
            <w:tcW w:w="0" w:type="auto"/>
            <w:hideMark/>
          </w:tcPr>
          <w:p w14:paraId="2959512C" w14:textId="767FE076" w:rsidR="00111E62" w:rsidRPr="00111E62" w:rsidRDefault="00111E62" w:rsidP="00111E62">
            <w:pPr>
              <w:rPr>
                <w:rFonts w:ascii="Arial" w:eastAsia="Times New Roman" w:hAnsi="Arial" w:cs="Arial"/>
                <w:lang w:eastAsia="fr-FR"/>
              </w:rPr>
            </w:pPr>
            <w:r w:rsidRPr="00111E62">
              <w:rPr>
                <w:rFonts w:ascii="Arial" w:eastAsia="Times New Roman" w:hAnsi="Arial" w:cs="Arial"/>
                <w:b/>
                <w:bCs/>
                <w:lang w:eastAsia="fr-FR"/>
              </w:rPr>
              <w:t>1 – 12 juin 2026</w:t>
            </w:r>
          </w:p>
        </w:tc>
        <w:tc>
          <w:tcPr>
            <w:tcW w:w="0" w:type="auto"/>
          </w:tcPr>
          <w:p w14:paraId="628BDBD3" w14:textId="7535B697"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Restitution intermédiaire</w:t>
            </w:r>
          </w:p>
        </w:tc>
        <w:tc>
          <w:tcPr>
            <w:tcW w:w="4310" w:type="dxa"/>
          </w:tcPr>
          <w:p w14:paraId="2A7D1B80" w14:textId="127E9A28"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Rédaction d’une note de synthèse</w:t>
            </w:r>
            <w:r w:rsidR="005262AD">
              <w:rPr>
                <w:rFonts w:ascii="Arial" w:eastAsia="Times New Roman" w:hAnsi="Arial" w:cs="Arial"/>
                <w:lang w:eastAsia="fr-FR"/>
              </w:rPr>
              <w:t xml:space="preserve"> à mi-parcours</w:t>
            </w:r>
            <w:r w:rsidR="00EE0C80">
              <w:rPr>
                <w:rFonts w:ascii="Arial" w:eastAsia="Times New Roman" w:hAnsi="Arial" w:cs="Arial"/>
                <w:lang w:eastAsia="fr-FR"/>
              </w:rPr>
              <w:t> </w:t>
            </w:r>
            <w:r w:rsidRPr="00111E62">
              <w:rPr>
                <w:rFonts w:ascii="Arial" w:eastAsia="Times New Roman" w:hAnsi="Arial" w:cs="Arial"/>
                <w:lang w:eastAsia="fr-FR"/>
              </w:rPr>
              <w:t>; identification des résultats disponibles, des limites et des besoins de compléments</w:t>
            </w:r>
            <w:r w:rsidR="00EE0C80">
              <w:rPr>
                <w:rFonts w:ascii="Arial" w:eastAsia="Times New Roman" w:hAnsi="Arial" w:cs="Arial"/>
                <w:lang w:eastAsia="fr-FR"/>
              </w:rPr>
              <w:t> </w:t>
            </w:r>
            <w:r w:rsidRPr="00111E62">
              <w:rPr>
                <w:rFonts w:ascii="Arial" w:eastAsia="Times New Roman" w:hAnsi="Arial" w:cs="Arial"/>
                <w:lang w:eastAsia="fr-FR"/>
              </w:rPr>
              <w:t>; partage interne</w:t>
            </w:r>
          </w:p>
        </w:tc>
        <w:tc>
          <w:tcPr>
            <w:tcW w:w="0" w:type="auto"/>
          </w:tcPr>
          <w:p w14:paraId="1C94BBEB" w14:textId="36A79445" w:rsidR="00111E62" w:rsidRPr="00111E62" w:rsidRDefault="00111E62" w:rsidP="00111E62">
            <w:pPr>
              <w:rPr>
                <w:rFonts w:ascii="Arial" w:eastAsia="Times New Roman" w:hAnsi="Arial" w:cs="Arial"/>
                <w:lang w:eastAsia="fr-FR"/>
              </w:rPr>
            </w:pPr>
            <w:r w:rsidRPr="00111E62">
              <w:rPr>
                <w:rFonts w:ascii="Arial" w:eastAsia="Times New Roman" w:hAnsi="Arial" w:cs="Arial"/>
                <w:lang w:eastAsia="fr-FR"/>
              </w:rPr>
              <w:t>Note intermédiaire de résultats disponible</w:t>
            </w:r>
          </w:p>
        </w:tc>
      </w:tr>
      <w:tr w:rsidR="00EE0C80" w:rsidRPr="00EE0C80" w14:paraId="04E4D93A" w14:textId="77777777" w:rsidTr="00CD484C">
        <w:tc>
          <w:tcPr>
            <w:tcW w:w="0" w:type="auto"/>
          </w:tcPr>
          <w:p w14:paraId="5566004A" w14:textId="5B625734" w:rsidR="00EE0C80" w:rsidRPr="00EE0C80" w:rsidRDefault="00EE0C80" w:rsidP="00EE0C80">
            <w:pPr>
              <w:jc w:val="center"/>
              <w:rPr>
                <w:rFonts w:ascii="Arial" w:eastAsia="Times New Roman" w:hAnsi="Arial" w:cs="Arial"/>
                <w:b/>
                <w:bCs/>
                <w:highlight w:val="yellow"/>
                <w:lang w:eastAsia="fr-FR"/>
              </w:rPr>
            </w:pPr>
            <w:r w:rsidRPr="00EE0C80">
              <w:rPr>
                <w:rFonts w:ascii="Arial" w:eastAsia="Times New Roman" w:hAnsi="Arial" w:cs="Arial"/>
                <w:b/>
                <w:bCs/>
                <w:highlight w:val="yellow"/>
                <w:lang w:eastAsia="fr-FR"/>
              </w:rPr>
              <w:t>Phase 2</w:t>
            </w:r>
          </w:p>
        </w:tc>
        <w:tc>
          <w:tcPr>
            <w:tcW w:w="8356" w:type="dxa"/>
            <w:gridSpan w:val="3"/>
          </w:tcPr>
          <w:p w14:paraId="216398AD" w14:textId="7338351C" w:rsidR="00EE0C80" w:rsidRPr="00EE0C80" w:rsidRDefault="00EE0C80" w:rsidP="00EE0C80">
            <w:pPr>
              <w:jc w:val="center"/>
              <w:rPr>
                <w:rFonts w:ascii="Arial" w:eastAsia="Times New Roman" w:hAnsi="Arial" w:cs="Arial"/>
                <w:b/>
                <w:bCs/>
                <w:highlight w:val="yellow"/>
                <w:lang w:eastAsia="fr-FR"/>
              </w:rPr>
            </w:pPr>
            <w:r w:rsidRPr="00EE0C80">
              <w:rPr>
                <w:rFonts w:ascii="Arial" w:eastAsia="Times New Roman" w:hAnsi="Arial" w:cs="Arial"/>
                <w:b/>
                <w:bCs/>
                <w:highlight w:val="yellow"/>
                <w:lang w:eastAsia="fr-FR"/>
              </w:rPr>
              <w:t>A</w:t>
            </w:r>
            <w:r w:rsidRPr="00607E6C">
              <w:rPr>
                <w:rFonts w:ascii="Arial" w:eastAsia="Times New Roman" w:hAnsi="Arial" w:cs="Arial"/>
                <w:b/>
                <w:bCs/>
                <w:highlight w:val="yellow"/>
                <w:lang w:eastAsia="fr-FR"/>
              </w:rPr>
              <w:t>pprofondi</w:t>
            </w:r>
            <w:r>
              <w:rPr>
                <w:rFonts w:ascii="Arial" w:eastAsia="Times New Roman" w:hAnsi="Arial" w:cs="Arial"/>
                <w:b/>
                <w:bCs/>
                <w:highlight w:val="yellow"/>
                <w:lang w:eastAsia="fr-FR"/>
              </w:rPr>
              <w:t>ssement des analyses</w:t>
            </w:r>
            <w:r w:rsidRPr="00607E6C">
              <w:rPr>
                <w:rFonts w:ascii="Arial" w:eastAsia="Times New Roman" w:hAnsi="Arial" w:cs="Arial"/>
                <w:b/>
                <w:bCs/>
                <w:highlight w:val="yellow"/>
                <w:lang w:eastAsia="fr-FR"/>
              </w:rPr>
              <w:t xml:space="preserve"> </w:t>
            </w:r>
            <w:r w:rsidRPr="00EE0C80">
              <w:rPr>
                <w:rFonts w:ascii="Arial" w:eastAsia="Times New Roman" w:hAnsi="Arial" w:cs="Arial"/>
                <w:b/>
                <w:bCs/>
                <w:highlight w:val="yellow"/>
                <w:lang w:eastAsia="fr-FR"/>
              </w:rPr>
              <w:t xml:space="preserve">et </w:t>
            </w:r>
            <w:r>
              <w:rPr>
                <w:rFonts w:ascii="Arial" w:eastAsia="Times New Roman" w:hAnsi="Arial" w:cs="Arial"/>
                <w:b/>
                <w:bCs/>
                <w:highlight w:val="yellow"/>
                <w:lang w:eastAsia="fr-FR"/>
              </w:rPr>
              <w:t>tableau de bord dynamique</w:t>
            </w:r>
          </w:p>
        </w:tc>
      </w:tr>
      <w:tr w:rsidR="00111E62" w:rsidRPr="005871F9" w14:paraId="7F3C35CD" w14:textId="77777777" w:rsidTr="005871F9">
        <w:tc>
          <w:tcPr>
            <w:tcW w:w="0" w:type="auto"/>
            <w:hideMark/>
          </w:tcPr>
          <w:p w14:paraId="6AB076AF" w14:textId="27E3EC61" w:rsidR="00111E62" w:rsidRPr="00111E62" w:rsidRDefault="00111E62" w:rsidP="00111E62">
            <w:pPr>
              <w:rPr>
                <w:rFonts w:ascii="Arial" w:eastAsia="Times New Roman" w:hAnsi="Arial" w:cs="Arial"/>
                <w:lang w:eastAsia="fr-FR"/>
              </w:rPr>
            </w:pPr>
            <w:r w:rsidRPr="005871F9">
              <w:rPr>
                <w:rFonts w:ascii="Arial" w:eastAsia="Times New Roman" w:hAnsi="Arial" w:cs="Arial"/>
                <w:b/>
                <w:bCs/>
                <w:lang w:eastAsia="fr-FR"/>
              </w:rPr>
              <w:t xml:space="preserve">A partir du </w:t>
            </w:r>
            <w:r w:rsidRPr="00111E62">
              <w:rPr>
                <w:rFonts w:ascii="Arial" w:eastAsia="Times New Roman" w:hAnsi="Arial" w:cs="Arial"/>
                <w:b/>
                <w:bCs/>
                <w:lang w:eastAsia="fr-FR"/>
              </w:rPr>
              <w:t>15</w:t>
            </w:r>
          </w:p>
        </w:tc>
        <w:tc>
          <w:tcPr>
            <w:tcW w:w="0" w:type="auto"/>
          </w:tcPr>
          <w:p w14:paraId="0EC61023" w14:textId="28C3B000" w:rsidR="00111E62" w:rsidRPr="00111E62" w:rsidRDefault="00111E62" w:rsidP="00111E62">
            <w:pPr>
              <w:rPr>
                <w:rFonts w:ascii="Arial" w:eastAsia="Times New Roman" w:hAnsi="Arial" w:cs="Arial"/>
                <w:lang w:eastAsia="fr-FR"/>
              </w:rPr>
            </w:pPr>
            <w:r w:rsidRPr="005871F9">
              <w:rPr>
                <w:rFonts w:ascii="Arial" w:eastAsia="Times New Roman" w:hAnsi="Arial" w:cs="Arial"/>
                <w:lang w:eastAsia="fr-FR"/>
              </w:rPr>
              <w:t xml:space="preserve">Collecte continue des données </w:t>
            </w:r>
          </w:p>
        </w:tc>
        <w:tc>
          <w:tcPr>
            <w:tcW w:w="4310" w:type="dxa"/>
          </w:tcPr>
          <w:p w14:paraId="5F65CC28" w14:textId="4E1A9695" w:rsidR="00111E62" w:rsidRPr="00111E62" w:rsidRDefault="00F87FCB" w:rsidP="00111E62">
            <w:pPr>
              <w:rPr>
                <w:rFonts w:ascii="Arial" w:eastAsia="Times New Roman" w:hAnsi="Arial" w:cs="Arial"/>
                <w:lang w:eastAsia="fr-FR"/>
              </w:rPr>
            </w:pPr>
            <w:r>
              <w:rPr>
                <w:rFonts w:ascii="Arial" w:hAnsi="Arial" w:cs="Arial"/>
              </w:rPr>
              <w:t>C</w:t>
            </w:r>
            <w:r w:rsidRPr="005262AD">
              <w:rPr>
                <w:rFonts w:ascii="Arial" w:hAnsi="Arial" w:cs="Arial"/>
              </w:rPr>
              <w:t>ollecte des données dans un processus permanent de suivi, reposant sur une collecte continue, organisée et systématique des informations utiles à la documentation des indicateurs</w:t>
            </w:r>
          </w:p>
        </w:tc>
        <w:tc>
          <w:tcPr>
            <w:tcW w:w="0" w:type="auto"/>
          </w:tcPr>
          <w:p w14:paraId="5F55F245" w14:textId="10114864" w:rsidR="00111E62" w:rsidRPr="00111E62" w:rsidRDefault="00F87FCB" w:rsidP="00111E62">
            <w:pPr>
              <w:rPr>
                <w:rFonts w:ascii="Arial" w:eastAsia="Times New Roman" w:hAnsi="Arial" w:cs="Arial"/>
                <w:lang w:eastAsia="fr-FR"/>
              </w:rPr>
            </w:pPr>
            <w:r>
              <w:rPr>
                <w:rFonts w:ascii="Arial" w:eastAsia="Times New Roman" w:hAnsi="Arial" w:cs="Arial"/>
                <w:lang w:eastAsia="fr-FR"/>
              </w:rPr>
              <w:t>Tableau de bord dynamique</w:t>
            </w:r>
          </w:p>
        </w:tc>
      </w:tr>
    </w:tbl>
    <w:p w14:paraId="1460696B" w14:textId="77777777" w:rsidR="009653D4" w:rsidRPr="005871F9" w:rsidRDefault="009653D4">
      <w:pPr>
        <w:rPr>
          <w:rFonts w:ascii="Arial" w:hAnsi="Arial" w:cs="Arial"/>
        </w:rPr>
      </w:pPr>
    </w:p>
    <w:sectPr w:rsidR="009653D4" w:rsidRPr="005871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D506D"/>
    <w:multiLevelType w:val="multilevel"/>
    <w:tmpl w:val="5F5C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62"/>
    <w:rsid w:val="000C69A5"/>
    <w:rsid w:val="00107120"/>
    <w:rsid w:val="00111E62"/>
    <w:rsid w:val="00155EC0"/>
    <w:rsid w:val="001E36EA"/>
    <w:rsid w:val="003C3756"/>
    <w:rsid w:val="005262AD"/>
    <w:rsid w:val="005871F9"/>
    <w:rsid w:val="00631968"/>
    <w:rsid w:val="009653D4"/>
    <w:rsid w:val="00AC642C"/>
    <w:rsid w:val="00BA2282"/>
    <w:rsid w:val="00BB5F8F"/>
    <w:rsid w:val="00D97CE0"/>
    <w:rsid w:val="00E867F3"/>
    <w:rsid w:val="00EE0C80"/>
    <w:rsid w:val="00F438DB"/>
    <w:rsid w:val="00F46F3D"/>
    <w:rsid w:val="00F87FCB"/>
    <w:rsid w:val="00FC6B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F7BD"/>
  <w15:chartTrackingRefBased/>
  <w15:docId w15:val="{E0D3F08B-92A8-428E-A4EE-11C49102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111E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11E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11E6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1E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11E6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11E6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11E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11E62"/>
    <w:rPr>
      <w:b/>
      <w:bCs/>
    </w:rPr>
  </w:style>
  <w:style w:type="table" w:styleId="Grilledutableau">
    <w:name w:val="Table Grid"/>
    <w:basedOn w:val="TableauNormal"/>
    <w:uiPriority w:val="39"/>
    <w:rsid w:val="00111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988790">
      <w:bodyDiv w:val="1"/>
      <w:marLeft w:val="0"/>
      <w:marRight w:val="0"/>
      <w:marTop w:val="0"/>
      <w:marBottom w:val="0"/>
      <w:divBdr>
        <w:top w:val="none" w:sz="0" w:space="0" w:color="auto"/>
        <w:left w:val="none" w:sz="0" w:space="0" w:color="auto"/>
        <w:bottom w:val="none" w:sz="0" w:space="0" w:color="auto"/>
        <w:right w:val="none" w:sz="0" w:space="0" w:color="auto"/>
      </w:divBdr>
    </w:div>
    <w:div w:id="1457092731">
      <w:bodyDiv w:val="1"/>
      <w:marLeft w:val="0"/>
      <w:marRight w:val="0"/>
      <w:marTop w:val="0"/>
      <w:marBottom w:val="0"/>
      <w:divBdr>
        <w:top w:val="none" w:sz="0" w:space="0" w:color="auto"/>
        <w:left w:val="none" w:sz="0" w:space="0" w:color="auto"/>
        <w:bottom w:val="none" w:sz="0" w:space="0" w:color="auto"/>
        <w:right w:val="none" w:sz="0" w:space="0" w:color="auto"/>
      </w:divBdr>
    </w:div>
    <w:div w:id="15607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2860</Words>
  <Characters>15732</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Organisation Internationale de la Francophonie</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BOUTNA</dc:creator>
  <cp:keywords/>
  <dc:description/>
  <cp:lastModifiedBy>André BOUTNA</cp:lastModifiedBy>
  <cp:revision>2</cp:revision>
  <dcterms:created xsi:type="dcterms:W3CDTF">2026-04-20T10:50:00Z</dcterms:created>
  <dcterms:modified xsi:type="dcterms:W3CDTF">2026-04-20T10:50:00Z</dcterms:modified>
</cp:coreProperties>
</file>