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t>Background: Academic burnout has become a major mental health challenge across higher education institutions, particularly in resource-constrained South Asian universities where structural counseling infrastructure is scarce. Current institutional screening frameworks remain constrained by isolated psychometric surveys, opaque decision algorithms, and an absence of contextual qualitative inquiry. Methods: We implemented an explanatory sequential mixed-methods design (QUAN → QUAL) on a primary cross-sectional cohort of N = 601 university undergraduates in Bangladesh. Quantitative modeling established baseline risk indicators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0.015 to 0.264) without circular target leakage. The quantitative feature rankings directly guided purposive nested sub-sampling of N = 20 students for qualitative semi-structured interviews. Results: Random Forest yielded the leading classification performance (Accuracy = 65.89%, ROC-AUC = 0.7126), providing a statistically significant 8.3 percentage-point gain over the 57.57% majority baseline (McNemar p &lt; .001) while remaining comparable to Logistic Regression (64.39%, McNemar p = 0.4743). Calibrating the decision threshold to th = 0.38 raised sensitivity to 71.76% (identifying 183 of 255 high-burnout students) for high-coverage voluntary screening.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Conclusion: Integrating supervised learning, game-theoretic explainability (SHAP), and reflexive qualitative analysis outlines an interconnected burnout sequence — career anxiety → psychological distress → digital escapism → biological sleep collapse. These findings establish a transparent, non-binding screening baseline to guide supportive campus mental health and mentoring systems.</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[10] recognised burnout as an occupational syndrome in ICD-11, recognising that unaddressed chronic stress leads to serious health consequences. While the conceptualisation of the framework was initially done in work environments [5], the framework is readily transferable to higher education, where university students face cognitive workloads, deadlines, and performance evaluations that are similar to professional demands [6]. Cross-national studies estimate that 30 to 50% of undergraduates suffer from clinically relevant burnout [7–9]. Rates of burnout are especially high in heavy-workload disciplines and developing economies [7–9].</w:t>
      </w:r>
    </w:p>
    <w:p>
      <w:pPr>
        <w:spacing w:after="80" w:line="276" w:lineRule="auto"/>
      </w:pPr>
      <w:r>
        <w:t>This challenge is further compounded by structural constraints in South Asia. Over the past two decades, university enrolment in Bangladesh has grown rapidly but institutional mental health services, student counselling centers and faculty mentoring programs have lagged [10, 12]. Recent assessments [13] indicated that over 40% of Bangladeshi university students experience high levels of burnout symptoms, which are often correlated to high levels of anxiety, depressive affect, and poor academic performance.</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[16, 17].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[23, 25].</w:t>
      </w:r>
    </w:p>
    <w:p>
      <w:pPr>
        <w:spacing w:after="80" w:line="276" w:lineRule="auto"/>
      </w:pPr>
      <w:r>
        <w:t>Explainable artificial intelligence (XAI) frameworks, specifically SHapley Additive exPlanations (SHAP) based on cooperative game theory [24], overcome this interpretability barrier by quantifying the contribution of each feature to the overall model behaviour [23]. SHAP can also be used for transparent algorithmic auditing [22, 25], quantifying the influence of academic metrics, sleep schedules and lifestyle factors on risk classifications.</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37].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[28]. Second, few educational models incorporate game-theoretic XAI techniques to go beyond simple feature counts to interpretable attributions [23, 25]. Third, there is a paucity of psychometric predictive research in developing countries where socio-economic realities, academic structures and counselling resources are very different from Western contexts [10, 12]. Fourth and most importantly, few studies integrate machine learning classification, SHAP interpretability, and qualitative thematic analysis in an explanatory sequential mixed-methods design (QUAN → QUAL) [25, 111, 123].</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Based on the COR (Conservation of Resources) theory [31], the Job Demands-Resources (JD-R) model [32] and the previous empirical literature [1,4], we hypothesise the following four hypotheses:</w:t>
      </w:r>
    </w:p>
    <w:p>
      <w:pPr>
        <w:spacing w:after="80" w:line="276" w:lineRule="auto"/>
      </w:pPr>
      <w:r>
        <w:t>H1. Ensemble-based classifiers (e.g. Random Forest, XGBoost [96], LightGBM [113], CatBoost [97]) will perform better than single learner models (e.g. Logistic Regression, Decision Tree) on F1-scores and ROC-AUC metrics.</w:t>
      </w:r>
    </w:p>
    <w:p>
      <w:pPr>
        <w:spacing w:after="80" w:line="276" w:lineRule="auto"/>
      </w:pPr>
      <w:r>
        <w:t>H2.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According to COR theory’s resource-preservation principles, resource-related indicators (sleep quality, physical activity, wellbeing buffer) will be negatively associated with severity of burnout.</w:t>
      </w:r>
    </w:p>
    <w:p>
      <w:pPr>
        <w:spacing w:after="80" w:line="276" w:lineRule="auto"/>
      </w:pPr>
      <w:r>
        <w:t>H4.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spacing w:after="80" w:line="276" w:lineRule="auto"/>
      </w:pPr>
      <w:r>
        <w:t>• Academic Demands: Study hours, academic pressure and workload score. Psychological Vulnerability: self-report of depression and stress.</w:t>
      </w:r>
    </w:p>
    <w:p>
      <w:pPr>
        <w:spacing w:after="80" w:line="276" w:lineRule="auto"/>
      </w:pPr>
      <w:r>
        <w:t>• Lifestyle &amp; Behavioural Habits: Sleep duration, sleep quality, physical activity, and social media consumption.</w:t>
      </w:r>
    </w:p>
    <w:p>
      <w:pPr>
        <w:spacing w:after="80" w:line="276" w:lineRule="auto"/>
      </w:pPr>
      <w:r>
        <w:t>• Sociodemographic Characteristics: Age, gender, academic year, and level of degree.</w:t>
      </w:r>
    </w:p>
    <w:p>
      <w:pPr>
        <w:spacing w:after="80" w:line="276" w:lineRule="auto"/>
      </w:pPr>
      <w:r>
        <w:t>• 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[31, 33],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[31, 33],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[32, 34].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[34, 35].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[36, 109]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[36].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21].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[28].</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spacing w:after="80" w:line="276" w:lineRule="auto"/>
      </w:pPr>
      <w:r>
        <w:t>• Academic Burnout: The feeling of emotional exhaustion, cynicism to academic commitments and low efficacy from chronic educational demands [6]. • Explainable AI (XAI): Analytical techniques such as SHAP, feature attribution techniques explaining the predictive logic of complex machine learning algorithms [24].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[23]. • Triangulation: Systematic integration of quantitative statistical patterns and qualitative narratives to assess convergence, complementarity and divergence [26, 37].</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6.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[38], and later formally operationalised by Maslach and Jackson [39] as a three-dimensional syndrome of emotional exhaustion, depersonalisation (cynicism) and reduced personal accomplishment. The Maslach Burnout Inventory (MBI) remains the most commonly used measure in the work and organisational research literature [5, 37]. Given the evaluative pressure, competitive deadlines and cognitive demands that university students are exposed to, Schaufeli et al. [6]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[6, 14]. This three-factor structure has been replicated in later psychometric studies using European [3, 39], North American [39, 40] and Asian [41] samples. Recent scholarship, however, conceptualises burnout more as a continuous behavioural and physiological process embedded in students’ daily routines such as sleep quality, physical activity, digital consumption, and social interactions [1, 42–44]. Behavioural features can be early objective markers for risk rather than burnout as an end state psychological score. Burnout has also been identified by researchers as a progressive continuum [32, 45] that supports the use of multi-tiered risk stratification (Low, Medium, High) for clinical and preventive screening [45, 46].</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[7] estimated the prevalence of significant burnout symptoms in university students to be between 28% and 55%, higher in competitive STEM and medical studies [47, 48]. Meta-analytic data from Erschens et al. [8] shows that around 44% of medical students worldwide suffer from emotional exhaustion. In the post-pandemic period, many reviews reported high rates of burnout worldwide, for example 61% in Saudi Arabia [9], Turkey [51], India [19], Brazil [52, 53, 57] and Bangladesh [112]. There are particular structural barriers facing university students in South Asia. Hossain and Rahman [13] found that 47% of undergraduates surveyed from six universities in Dhaka experienced moderate-to-severe burnout. Private institutions had high rates, where the demands of coursework are compounded by academic fees and employment pressures [54]. Systemic vulnerability was identified in multi-institutional reviews by Ali et al. [107] and Hossen et al. [111]. It was found that Bangladeshi students experienced pervasive anxiety and depressive affect [14, 55], which was caused by a lack of adequate mental health infrastructure on campus. Untreated burnout of students in higher education has well-documented effects. Longitudinal studies have shown that chronic burnout may predict academic underachievement [31], increased dropout intentions [56, 60], substance misuse [48, 52], depressive episodes and suicidal ideation [49, 53]. In developing countries, where tuition fees represent an important investment for families [11], academic attrition has important socio-economic implications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Requirements for academic knowledge</w:t>
      </w:r>
    </w:p>
    <w:p>
      <w:pPr>
        <w:spacing w:after="80" w:line="276" w:lineRule="auto"/>
      </w:pPr>
      <w:r>
        <w:t>“Academic strain is consistently associated with frequent examinations, rigid grading curves, and volume of course work” [ 1 ]. Salmela-Aro and Upadyaya [32] found that increased study demands predicted burnout trajectories in a longitudinal study, even when controlling for baseline psychological health. Subjective evaluation of workload manageability was a stronger predictor than the raw hours invested [61],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[42, 43]. Meta-analytic results of Bianchi et al. [49] demonstrated considerable overlap of burnout with depressive symptoms (pooled r =.52). In addition, systematic vulnerability appears in individuals with high levels of trait anxiety [44], neuroticism [46, 50] and academic helplessness [47]. Financial problems have also been cited as a major stressor. Richardson et al. [58] found that students experiencing financial strain were 1.8 times more likely to report severe burnout and Walsemann et al. [59]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nite) and poor sleep quality are linked to significant increases in risk of burnout [63, 64, 78]. Disruption of the sleep architecture is strongly associated with daytime cognitive functioning and emotional regulation [65, 66]. Conversely, regular physical activity is a possible protective factor, reducing the symptoms of burnout by approximately 0.4 standard deviations in meta-analyses [62]. Increased recreational screen time, particularly unstructured social media scrolling, has been associated with increased levels of burnout due to the displacement of study time and poor sleep quality [60, 67, 68, 69, 70]. Fang et al. [110] and Ng et al. [115]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[116] found female students to report slightly higher levels of emotional exhaustion and male students to report higher levels of cynicism. The impact of the academic year varies across curricula, with peaks in transition periods, such as second year or clinical rotations [3, 8]. Contextual moderators are important institutional factors like faculty availability, class size, and mental health services [10]. Social and family support is always a buffer against burnout [71]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[72, 73].</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[75] reviewed 30 studies on prescriptive modelling and concluded that ensemble algorithms generally outperformed a single tree classifier. In a recent study, Alhazmi and Sheneamer [76]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[67, 68]. Adding lifestyle features, such as sleep duration, exercise, digital habits and psychometric scores, consistently improves the prediction performance [77, 79].</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[80]. 3. Single-metric evaluation: Models often report raw accuracy and ignore class-specific recalls, precision-recall trade-offs, and the decision-threshold calibration required for deployment in an institution [81].</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[23, 25]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[24, 83], which computes the exact marginal contribution of each input feature to individual and global predictions. Heuristic feature rankings [24]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[82].</w:t>
      </w:r>
    </w:p>
    <w:p>
      <w:pPr>
        <w:pStyle w:val="Heading4"/>
        <w:spacing w:before="160" w:after="40"/>
      </w:pPr>
      <w:r>
        <w:t>2.5.2 Comparison to feature importance methods</w:t>
      </w:r>
    </w:p>
    <w:p>
      <w:pPr>
        <w:spacing w:after="80" w:line="276" w:lineRule="auto"/>
      </w:pPr>
      <w:r>
        <w:t>Standard tree ensembles compute Gini impurity based importances [84,85] which can be biased toward features with a large number of levels [86]. Permutation importance measures the drop in performance when shuffling the feature, but correlated variables can lead to extrapolation artefacts [87, 88]. Partial dependence plots (PDP) and individual conditional expectation (ICE) plots visualise marginal effects [74, 89]. SHAP provides local instance-level attributions and global feature rankings [23, 90].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28]. Mixed methods research in educational psychology enables investigators to integrate quantitative predictive screening with narrative explanations of students’ lived experience [27, 37].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45, 60].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91]. • Gap 2 (Interpretability Deficit): The absence of game-theoretic XAI (SHAP) explanations for the common use of black-box algorithms [23, 25]. • Gap 3 (Contextual Focus): no empirical ML research in the setting of South Asian higher education [10, 80].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[31, 34].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university students in Bangladesh, recruited through institutional networks via online distribution. The cohort consists of students from different academic fields across Bachelor's (69.22%, n = 416), Master's (24.96%, n = 150), Ph.D. (4.49%, n = 27), and Diploma/Associate Degree programs (1.33%, n = 8), with a balanced gender ratio (Male: 57.24%, n = 344; Female: 42.76%, n = 257). The quantitative analysis was used to select a purposeful sub-sample of N = 20 students using a nested maximum variation sampling strategy across levels of burnout severity (Low, Medium, High). This sample size (N=20) satisfied the requirements for thematic saturation in reflexive qualitative analysis among relatively homogenous student populations [92, 98, 118].</w:t>
      </w:r>
    </w:p>
    <w:p>
      <w:pPr>
        <w:pStyle w:val="Heading3"/>
        <w:spacing w:before="200" w:after="60"/>
      </w:pPr>
      <w:r>
        <w:rPr>
          <w:color w:val="047857"/>
        </w:rPr>
        <w:t>3.3 Data collection tools and operationalisation</w:t>
      </w:r>
    </w:p>
    <w:p>
      <w:pPr>
        <w:spacing w:after="80" w:line="276" w:lineRule="auto"/>
      </w:pPr>
      <w:r>
        <w:t>Quantitative Research: The survey included sociodemographic indicators, behavioural measures (study hours, sleep time, physical activity, social media use) and psychometric items (academic pressure, perceived stress, depressive affect, motivation). The main outcome, academic burnout severity, was operationalised as a 3-point global ordinal measure (`burnout_score’: 1 = Low, 2 = Medium, 3 = High) informed conceptually by the Maslach Burnout Inventory-Student Survey (MBI-SS) [6] and Copenhagen Burnout Inventory (CBI) [93]. Binary classification modelling scores were thresholded to Low/Medium Burnout (Target=0, n=346, 57.57%) vs. High Burnout (Target=1, n=255, 42.43%) Methodological Note: Psychometric Construct Validity and Common-Method Bias: In primary exploratory student surveys, single-item global ratings provide remarkably high response efficiency and response rates [41, 57]. Burnout measures that are based on single-item self-reports have been shown to be acceptable in terms of concurrent and convergent validity compared with full multi-item instruments such as the MBI, based on extensive psychometric validations (Rohland et al., 2004; West et al., 2009; Elo et al., 2003) [118, 119]. However, a single-item global outcome in a one-wave cross-sectional survey is vulnerable to common-method variance (CMV) and has an operational ceiling on classification performance (Section 9.10).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administration of full multi-item subscales (e.g., emotional exhaustion, cynicism, academic efficacy, MBI-SS) and longitudinal multi-wave tracking. Qualitative Interviews: Semi-structured interviews (45–60 min) were conducted in person or via secure digital video platforms. The interview guide was designed to cover academic pressures, coping methods, digital media use, sleep patterns and institutional support systems. Qualitative transcripts were open-coded prior to reviewing final SHAP quantitative feature rankings to avoid confirmatory bias.</w:t>
      </w:r>
    </w:p>
    <w:p>
      <w:pPr>
        <w:pStyle w:val="Heading3"/>
        <w:spacing w:before="200" w:after="60"/>
      </w:pPr>
      <w:r>
        <w:rPr>
          <w:color w:val="047857"/>
        </w:rPr>
        <w:t>3.4 Consideration of ethics</w:t>
      </w:r>
    </w:p>
    <w:p>
      <w:pPr>
        <w:spacing w:after="80" w:line="276" w:lineRule="auto"/>
      </w:pPr>
      <w:r>
        <w:t>The study was conducted in accordance with the ethical principles of the Declaration of Helsinki for research involving human subjects. As the research was an observational, non-invasive, cross-sectional survey and voluntary qualitative interviews with adult university students (aged 18 years or older) with minimal psychological risk, formal ethics committee review was exempt as per institutional guidelines for minimal-risk educational research. All participants gave informed electronic consent before finishing the survey and taking part in interviews. Participation of qualitative interviewees was entirely voluntary and they had the right to skip any question or withdraw at any time with no academic penalty. All interviewees were provided with contact details for counselling support. Confidentiality was completely maintained by replacing all personal identifiers and institutional names with standardised pseudonyms (Participant 1 [P1] to Participant 20 [P20]) in all published materials. Raw audio files and transcripts were stored in encrypted, password protected local storage accessible only to the research team.</w:t>
      </w:r>
    </w:p>
    <w:p>
      <w:pPr>
        <w:pStyle w:val="Heading3"/>
        <w:spacing w:before="200" w:after="60"/>
      </w:pPr>
      <w:r>
        <w:rPr>
          <w:color w:val="047857"/>
        </w:rPr>
        <w:t>3.5 Preprocessing of Data and Feature Engineering</w:t>
      </w:r>
    </w:p>
    <w:p>
      <w:pPr>
        <w:spacing w:after="80" w:line="276" w:lineRule="auto"/>
      </w:pPr>
      <w:r>
        <w:t>Data preparation and model evaluation were done in Python with `scikit-learn` [94], with exact runtime dependencies recorded in `requirements.txt`. All feature engineering routines are wrapped into a shared module (feature_engineering.py) to ensure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2). Target correlations for composite features were low to moderate ($|r| = 0.015$ to 0.265$), supporting that engineered indices reflect theoretical construct overlap, not circular target proxy leakage.</w:t>
      </w:r>
    </w:p>
    <w:p>
      <w:pPr>
        <w:pStyle w:val="Heading3"/>
        <w:spacing w:before="200" w:after="60"/>
      </w:pPr>
      <w:r>
        <w:rPr>
          <w:color w:val="047857"/>
        </w:rPr>
        <w:t>Table 2. Feature Engineering Configurations on Domain-Specific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[34].</w:t>
            </w:r>
          </w:p>
        </w:tc>
      </w:tr>
    </w:tbl>
    <w:p>
      <w:pPr>
        <w:spacing w:before="0" w:after="120"/>
      </w:pPr>
    </w:p>
    <w:p>
      <w:pPr>
        <w:pStyle w:val="Heading3"/>
        <w:spacing w:before="200" w:after="60"/>
      </w:pPr>
      <w:r>
        <w:rPr>
          <w:color w:val="047857"/>
        </w:rPr>
        <w:t>3.6 Machine Learning and Ensemble Pipeline Architecture</w:t>
      </w:r>
    </w:p>
    <w:p>
      <w:pPr>
        <w:spacing w:after="80" w:line="276" w:lineRule="auto"/>
      </w:pPr>
      <w:r>
        <w:t>As follows, ten supervised classification algorithms and a Soft Voting Ensemble were compared to classical statistical modelling frameworks [108] of flexible non-linear machine learning:</w:t>
      </w:r>
    </w:p>
    <w:p>
      <w:pPr>
        <w:spacing w:after="80" w:line="276" w:lineRule="auto"/>
      </w:pPr>
      <w:r>
        <w:t xml:space="preserve">1. </w:t>
      </w:r>
      <w:r>
        <w:rPr>
          <w:b/>
        </w:rPr>
        <w:t>Linear Baseline</w:t>
      </w:r>
      <w:r>
        <w:t>: Logistic Regression (`max_iter=1000, random_state=42, C=1.0`).</w:t>
      </w:r>
    </w:p>
    <w:p>
      <w:pPr>
        <w:spacing w:after="80" w:line="276" w:lineRule="auto"/>
      </w:pPr>
      <w:r>
        <w:t xml:space="preserve">2. </w:t>
      </w:r>
      <w:r>
        <w:rPr>
          <w:b/>
        </w:rPr>
        <w:t>Tree-based Ensembles</w:t>
      </w:r>
      <w:r>
        <w:t>: Decision Tree (`max_depth=4`), Random Forest (`n_estimators=150, max_depth=8`), and Extra Trees (`n_estimators=100, max_depth=8`).</w:t>
      </w:r>
    </w:p>
    <w:p>
      <w:pPr>
        <w:spacing w:after="80" w:line="276" w:lineRule="auto"/>
      </w:pPr>
      <w:r>
        <w:t xml:space="preserve">3. </w:t>
      </w:r>
      <w:r>
        <w:rPr>
          <w:b/>
        </w:rPr>
        <w:t>Gradient Boosting Frameworks</w:t>
      </w:r>
      <w:r>
        <w:t>: Gradient Boosting (`n_estimators=100, learning_rate=0.1`), XGBoost (`n_estimators=100, learning_rate=0.3, max_depth=6`), LightGBM (`n_estimators=100, learning_rate=0.1`), and CatBoost (`iterations=150, learning_rate=0.08`).</w:t>
      </w:r>
    </w:p>
    <w:p>
      <w:pPr>
        <w:spacing w:after="80" w:line="276" w:lineRule="auto"/>
      </w:pPr>
      <w:r>
        <w:t xml:space="preserve">4. </w:t>
      </w:r>
      <w:r>
        <w:rPr>
          <w:b/>
        </w:rPr>
        <w:t>Support Vector &amp; Neural Architectures</w:t>
      </w:r>
      <w:r>
        <w:t>: Support Vector Machine (`kernel='rbf', C=1.0, probability=True`) and Multi-layer Perceptron (`hidden_layer_sizes=(64, 32), max_iter=300`).</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We employed a 10-fold outer / 5-fold inner Nested Cross-Validation protocol (`GridSearchCV` inner loop tuning `n_estimators`, `max_depth` and `min_samples_split`) on the top classifiers to assess hyperparameter sensitivity and remove arbitrary hyperparameter selection bias.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[24].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The interview transcripts were analysed using the six-phase framework for reflexive thematic analysis, as described by Braun and Clarke [92, 98].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[120]). Disagreements were resolved by consensus discussion. Once both strands were complete, a formal triangulation matrix was employed to map SHAP predictors directly to emergent qualitative themes [99].</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[100].</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[101]. Interestingly, social media use was reported to be 3.49 hours (SD = 2.65) per day, more than the amount of dedicated study time for a large proportion of the cohort. Standardised psychometric indicators on a 1-4 scale showed that the population was experiencing a high level of psychological distress. The mean self-reported stress score was high, 2.54 (SD = 1.10) and the mean depression score was 2.52 (SD = 1.12). In contrast, motivation scores were lower (1.93, SD = 0.80) on average indicating a general disengagement from academics.</w:t>
      </w:r>
    </w:p>
    <w:p>
      <w:pPr>
        <w:pStyle w:val="Heading3"/>
        <w:spacing w:before="200" w:after="60"/>
      </w:pPr>
      <w:r>
        <w:rPr>
          <w:color w:val="047857"/>
        </w:rPr>
        <w:t>4.3.1 Target Variable Analysis (Burnout Level)</w:t>
      </w:r>
    </w:p>
    <w:p>
      <w:pPr>
        <w:spacing w:after="80" w:line="276" w:lineRule="auto"/>
      </w:pPr>
      <w:r>
        <w:t>The distribution of the dependent variable, `burnout_score`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[10]. This natural class imbalance presents a computational challenge for subsequent machine learning tasks [95],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Self-report Likert-scale items are ordinal, but one-way ANOVA is robust to violations of normality for sample sizes greater than N = 200 per group due to the central limit theorem [102], and thus is appropriate for the N = 601 dataset examined here. The analyses were conducted to explore linear relationships, measure differences between groups at varying levels of burnout severity, and assess multicollinearity before applying the algorithms. Statistical significance was defined at the conventional α = 0.05 level.</w:t>
      </w:r>
    </w:p>
    <w:p>
      <w:pPr>
        <w:pStyle w:val="Heading3"/>
        <w:spacing w:before="200" w:after="60"/>
      </w:pPr>
      <w:r>
        <w:rPr>
          <w:color w:val="047857"/>
        </w:rPr>
        <w:t>5.1 Associations Categoricales (Analyse de Chi-carré)</w:t>
      </w:r>
    </w:p>
    <w:p>
      <w:pPr>
        <w:spacing w:after="80" w:line="276" w:lineRule="auto"/>
      </w:pPr>
      <w:r>
        <w:t>We conducted Pearson’s Chi-Square tests of independence to explore the relationships among the categorical sociodemographic variables and the three-tier `burnout_score`.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[7].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[121])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One-way Analyses of Variance (ANOVA) were performed to assess whether continuous behavioural and psychometric features are significantly different between three levels of burnout (Low, Medium, High). Analyses showed highly significant differences in important academic behaviours. There was a significant difference in self-reported daily study hours by burnout level, F(2, 598) = 8.468, raw p &lt;.001, η² = .028 (small effect by Cohen's [122]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[6, 31], rather than a direct effect of excessive study volume on burnout. Moreover, the largest group difference was observed in the CGPA midpoint, F(2, 598) = 22.604, raw p &lt;.001, η²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There were significantly higher self-reported stress scores in the higher burnout cohorts, F(2, 598) = 5.164, raw p = .006, η2 = .017 and depression scores, F(2, 598) = 5.109, raw p = .006, η2 = .017. Of particular interest is the highly significant difference in daily social media consumption, F (2, 598) = 14.089, raw p &lt; .001, η² = .045 (small-to-medium effect), empirically linking digital fatigue with academic exhaustion. Theoretical resources such as motivation approached significance, F(2, 598) = 2.489, raw p = .084, but did not reach the strict α = 0.05 level. Thus, motivational depletion operates predominantly through complex non-linear interactions rather than simple bivariate main effects.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[34].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[103]. 1. Raw Survey Predictors: The raw survey variables were checked for multicollinearity and very low collinearity was found with Variance Inflation Factors ranging from 1.046 to 1.205 (max VIF=1.205 for `cgpa_midpoint`), well below the common threshold of 5.0. This is in line with the main survey items reflecting orthogonal behavioural dimensions. 2. Engineered Composite Features: The evaluation of domain engineered composite ratios (e.g. `psychological_strain_index = stress_score + depression_score`) together with their raw parent features results in high collinearity (VIF &gt; 10 / infinite VIF) because of linear combinations. Methodological Justification &amp; Model Robustness: Non-parametric tree-based ensemble models (Random Forest, Extra Trees, Gradient Boosting) and non-linear SHAP attributions split features sequentially, as opposed to solving linear matrix inversions (like linear OLS regressions), thus being mathematically immune to multicollinearity destabilisation [84, 85, 105]. SHAP interpretability analysis (Section 7) evaluates feature attributions as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[16].</w:t>
      </w:r>
    </w:p>
    <w:p>
      <w:pPr>
        <w:pStyle w:val="Heading3"/>
        <w:spacing w:before="200" w:after="60"/>
      </w:pPr>
      <w:r>
        <w:rPr>
          <w:color w:val="047857"/>
        </w:rPr>
        <w:t>6.1 Overall Predictive Ability</w:t>
      </w:r>
    </w:p>
    <w:p>
      <w:pPr>
        <w:spacing w:after="80" w:line="276" w:lineRule="auto"/>
      </w:pPr>
      <w:r>
        <w:t>Table 3 shows the comparative performance of the machine learning algorithms over 10-Fold Stratified Cross-Validation after rigorous pre-processing, feature scaling and clean behavioural ratio engineering,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indicates chance-level discrimination. All ML models substantially exceed this baseline.</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w:t>
      </w:r>
    </w:p>
    <w:p>
      <w:pPr>
        <w:spacing w:after="80" w:line="276" w:lineRule="auto"/>
      </w:pPr>
      <w:r>
        <w:t>Pairwise McNemar’s tests on out-of-fold predictions were used to assess statistical significance between classifiers. Importantly, the best performing Random Forest model significantly outperformed the zero-rule majority class baseline of 57.57% ($\chi^2 = 13.96, p = 0.00019, p &lt;.001$), indicating a non-random predictive signal. The Random Forest was also statistically significantly better than the decision tree models based on a single tree ($\chi^2 = 4.73, p = 0.0297$). Similarly, the Soft Voting Ensemble was statistically significantly better than the decision tree models ($\chi^2 = 4.66, p = 0.0308$). The pairwise comparison between Random Forest and Logistic Regression ($\chi^2 = 0.51, p = 0.4743$), Soft Voting and Logistic Regression ($\chi^2 = 0.55, p = 0.4595$), and Random Forest and CatBoost ($\chi^2 = 0.23, p = 0.6350$) showed no statistically significant difference in their top-tier predictive performance between the ensemble and regularised linear baselines.</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As demonstrated in Table 4b, shifting the decision threshold from 0.50 to 0.42 increases Sensitivity (Recall) from 43.53% to 62.75% (160/255 TP), while a threshold of 0.38 achieves 71.76% Recall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Evaluating subgroup generalizability ensures model fairness and stability across distinct student populations [29].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4c shows that the model trained on the main Bachelor’s undergraduate cohort ($n = 416$) had promising generalisation performance on the held-out Master’s/PhD/Diploma cohort ($n = 185$) with $67.03\%$ Accuracy and a ROC-AUC of 0.6597 (F1 = 0.5120, Precision = 62.75%). The held-out accuracy (67.03%) is better than the internal CV performance (63.70%), but the moderate drop in ROC-AUC from 0.7136 to 0.6597 captures the expected domain shift across academic stages. Conversely, in the reverse sensitivity check (training on $n=185$ postgraduates and testing on $n=416$ undergraduates), the model achieved 64.18% accuracy and 0.7030 ROC-AUC on the held-out cohort, despite low internal CV performance on the training subgroup itself (55.68% accuracy, ROC-AUC = 0.5497). This internal CV mismatch is symptomatic of the inherent instability of training complex non-linear ensembles on a limited sample (n=185, giving ≈18 observations per 10-fold CV fold). These forward and backward evaluations indicate that the learned feature attributions are likely to reflect cross-cohort information, rather than idiosyncratic subgroup artefacts, though the difference in sensitivity highlights the need for larger, multi-institutional samples before definitive claims about demographic invariance can be made.</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[117]. They provide a predictive output, classifying a student as highly burnt out, but the mathematical logic behind the prediction is hidden [117, 23]. In this study, we use Explainable Artificial Intelligence (XAI) to bridge the gap between algorithm prediction and psychological interpretability. Specifically, the decision making process of the best performing Random Forest model [71]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[83]).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ρ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(n_estimators, max_depth, min_samples_split) on the best performing classifiers. For nested CV, tuned Random Forest 65.56% Accuracy, 0.7095 ROC-AUC (vs. 65.89% default accuracy) and tuned Logistic Regression 62.73% Accuracy, 0.6768 ROC-AUC. This is a proof that Random Forest is the champion classifier with strict hyperparameter optimisation and no data snooping.</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High Burnout: Major Predictors 1. Academic Performance Index (Mean |SHAP| = 0.0388): This composite index of CGPA baseline ratio and attendance percentage was the only statistically significant predictor of severe burnout. 2. CGPA Midpoint (Mean |SHAP| = 0.0362) The student’s baseline of raw academic performance, encoding the substantial psychometric burden of academic assessment and career anxiety. 3. Screen-to-Sleep Ratio (Mean |SHAP| = 0.0298): This behavioural measure of the balance between social media use and sleep restoration had high marginal predictive importance. 4. Burnout Vulnerability Index (Mean |SHAP| = 0.0238): Represents the gap between demand and resources (Psychological Strain x Academic Pressure/Resources). 5. Social Media Hours (Mean |SHAP| = 0.0202): This also adds support to the notion that too much time online is additive demand, not restorative. 6. Study-to-Rest Ratio (Mean |SHAP| = 0.0201): evaluating overall cognitive burden versus recuperative potential of sleep and exercise. Demographics Don't Matter: Yet, sociodemographic factors were placed right at the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16861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16861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 interviews with a purposively selected subsample of students reporting different levels of burnout in the initial survey. The interview transcripts were analysed using Braun and Clarke [98]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and cultural nuance. The first author (a native Bangla speaker, fluent in both languages) translated the audio recordings word-for-word into Bangla. Subsequently, the transcripts were translated into English for thematic coding and reporting. A randomly selected 25% sub-sample of transcripts (n = 5) were independently back-translated (van Nes et al., 2010; Regmi et al., 2010) by a second bilingual educational researcher to ensure translation accuracy and prevent semantic distortion. Discrepancies related to idiomatic expressions (e.g., context-specific expressions of psychological distress such as “chinta” [anxiety/worry] or religious coping markers such as “Alhamdulillah”) were resolved by consensus for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coding), so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data, analysed a 25% sub-sample of anonymised interview transcripts (n = 5). Inter-rater reliability was high across major thematic categories (Cohen’s kappa κ =.82; Landis &amp; Koch, 1977), reflecting strong thematic stability across independent coders.</w:t>
      </w:r>
    </w:p>
    <w:p>
      <w:pPr>
        <w:pStyle w:val="Heading3"/>
        <w:spacing w:before="200" w:after="60"/>
      </w:pPr>
      <w:r>
        <w:rPr>
          <w:color w:val="047857"/>
        </w:rPr>
        <w:t>8.3 Theme 1: Crushing Weight at the Expense of Academic Performance and Career Despair</w:t>
      </w:r>
    </w:p>
    <w:p>
      <w:pPr>
        <w:spacing w:after="80" w:line="276" w:lineRule="auto"/>
      </w:pPr>
      <w:r>
        <w:t>The interviews revealed that the most common fear was academic failure and the second most common fear was career prospects after graduation, similar to the SHAP finding that CGPA is the most important predictor of burnout. Students reporting High Burnout viewed academic demands as insurmountable pressure, not as stepping stones. High Burnout (CSE 2nd Year)Participant 1 summarised this fear succinctly: “Honestly, I’m feeling a lot of mental pressure right now, I can’t complete my daily tasks on time, so the academic pressure is even higher… I’m constantly anxious about my career - what am I going to do in the future, where is my life going; these things make me restless.” Participant 10 (Bachelor 3rd Year, High Burnout) also described a feeling of being overwhelmed by the sheer volume: "Very high mental stress! No matter what I do, the syllabus never ends. I am always feeling depressed. The pressure of academia, the situation of the country now, then I don’t see a good future.” Participant 17 (Bachelor 1st Year, Private University G, Medium Burnout) noted the specific pressure arising from strict grading systems of the institution: &gt; “You already know the stress of studying at our private university! Our grading system is very strict so I have to make it a rule to study 4-5 hours daily... Yeah, I’m kinda bummed about life and my studies most of the time.</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demands lead to burnout. Some National University students said they don’t experience much day-to-day academic pressure, but they do experience serious burnout because of institutional stigma and career despair. Participant 11 (Bachelor 1st Year, High Burnout) explicitly related depression to institutional affiliation and not study load. “It’s not that much pressure to study when you’re studying in National University… [But] mentally I’m not doing so good. Firstly i am a student of National University and along with that my CGPA is bad. I’m really depressed because I don’t have any future direction.” Similar experience was observed for participant 20 (Bachelor 3rd Year, High Burnout): “I don’t study at all…There is no direct pressure from studies, but since I don’t study – there is a constant internal stress that works inside my mind…Brother, I am depressed all day long. For one, I study at the National University, and on top of that, there is no clue about my career.” This hints at a significant psychometric subtlety: burnout is not only the result of excessive work but also of an absolute lack of academic motivation and future prospects.</w:t>
      </w:r>
    </w:p>
    <w:p>
      <w:pPr>
        <w:pStyle w:val="Heading3"/>
        <w:spacing w:before="200" w:after="60"/>
      </w:pPr>
      <w:r>
        <w:rPr>
          <w:color w:val="047857"/>
        </w:rPr>
        <w:t>8.5 Theme 3: Digital Fatigue as a Maladaptive Coping Mechanism</w:t>
      </w:r>
    </w:p>
    <w:p>
      <w:pPr>
        <w:spacing w:after="80" w:line="276" w:lineRule="auto"/>
      </w:pPr>
      <w:r>
        <w:t>Burnout was found to be highly significantly predicted by social media use (ANOVA p &lt; .001). In qualitative interviews, we found that social media is often used as an avoidance mechanism for academic stress which then destroys time management and exacerbates the original stress leading to a vicious cycle of digital fatigue. Participant 18 (Bachelor 2nd Year, High Burnout) explained this loss of control as: &gt; “I am on my phone 6 hours a day scrolling and web series… Burnout is very high. I am completely tired from this daily routine and my mental state. This unstructured digital consumption directly substitutes for study time and recuperation time. P8 (Bachelor 2nd Year, High Burnout) stated: &gt; “I spend my whole day on my phone! Scrolling Facebook and playing PUBG more than 6-7 hours a day… I get depressed quite often. No studies, no outdoor activities – all this makes me feel that there is actually no future.</w:t>
      </w:r>
    </w:p>
    <w:p>
      <w:pPr>
        <w:pStyle w:val="Heading3"/>
        <w:spacing w:before="200" w:after="60"/>
      </w:pPr>
      <w:r>
        <w:rPr>
          <w:color w:val="047857"/>
        </w:rPr>
        <w:t>8.6 Theme 4: Work and Sleep Deprivation (The Architecture of Fatigue)</w:t>
      </w:r>
    </w:p>
    <w:p>
      <w:pPr>
        <w:spacing w:after="80" w:line="276" w:lineRule="auto"/>
      </w:pPr>
      <w:r>
        <w:t>Students who were extremely burnt out often reported their circadian rhythms breaking down completely, from late-night digital use, anxiety about school, or the added stress of part-time jobs. This qualitative finding lends direct support to the SHAP values that link sleep hours and sleep quality with risk of burnout. Participant 6 (Bachelor 2nd Year, High Burnout) described the cycle of poor sleep hygiene as follows: "I stay up late watching many web series. Then I need to wake up in the morning for university so my sleep schedule is all out of whack… I don’t get enough time to sleep and when I do get into bed sleep doesn’t come easily.” Chronic physical exhaustion among working students. As participant 12 (Bachelor 2nd Year, High Burnout) commented: “I think the academic pressure is a lot. I definitely cannot balance the job along with my studies… My sleep situation is quite pathetic. I get the opportunity to sleep only for about 5-6 hours a day. I am a very light sleeper and breaks at the slightest sound.” In stark contrast, students who took good care of their sleep hygiene and were engaged in physical activity were highly resilient to burn-out even with heavy workloads. Participant 5 (Masters 1st Year, Low Burnout) has study, research and a Teaching Assistantship to manage and said: &gt; I try to sleep 7-8 hours every single day... I’m not very burnt out. I’m doing beautifully with it all. The protecting power of physical activity and sleep was also mentioned by Participant 4 (Bachelor 3rd Year, Medium Burnout): &gt; “I work out every morning… Alhamdulillah, I sleep very well. I have a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w:t>
      </w:r>
    </w:p>
    <w:p>
      <w:pPr>
        <w:pStyle w:val="Heading3"/>
        <w:spacing w:before="200" w:after="60"/>
      </w:pPr>
      <w:r>
        <w:rPr>
          <w:color w:val="047857"/>
        </w:rPr>
        <w:t>9.1 CGPA Convergence and Career Disenchantment</w:t>
      </w:r>
    </w:p>
    <w:p>
      <w:pPr>
        <w:spacing w:after="80" w:line="276" w:lineRule="auto"/>
      </w:pPr>
      <w:r>
        <w:t>Quantitative Signal: The SHAP analysis showed that the most powerful mathematical predictors of High Burnout were `academic_performance_index` (Mean |SHAP| = 0.0388), `cgpa_midpoint` (Mean |SHAP| = 0.0362), `screen_to_sleep_ratio` (Mean |SHAP| = 0.0298) and `burnout_vulnerability_index` (Mean |SHAP| = 0.0238). Qualitative Context: Thematic analysis sheds light on the algorithm’s strong weighting of these metrics. For students, CGPA is not simply a number, it is the ultimate proxy to their future career survival. All participants reported that maintaining a high CGPA is exhausting while not maintaining one creates crippling anxiety about unemployment after graduation. This intense, bidirectional psychometric strain was captured well by the algorithm. Moreover, the qualitative data provided a critical nuance that the algorithm could not capture: for students in the National University system, even a low-pressure academic environment leads to severe burnout due to the institutional stigma that inherently undermines their career prospects, demonstrating that “academic pressure” is inextricably linked to “future despair.”</w:t>
      </w:r>
    </w:p>
    <w:p>
      <w:pPr>
        <w:pStyle w:val="Heading3"/>
        <w:spacing w:before="200" w:after="60"/>
      </w:pPr>
      <w:r>
        <w:rPr>
          <w:color w:val="047857"/>
        </w:rPr>
        <w:t>9.2 Screen-to-Sleep Ratio and Digital Fatigue Meet Up</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are not passive consumers of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“I watch a lot of web series at nite so I sleep late… my sleep cycle is totally disturbed,” said Participant 6 (Bachelor 2nd Year, High Burnout). Participant 8 echoed the same compounding dynamic, “Scrolling Facebook and playing PUBG takes more than 6-7 hours a day… No studies, no outdoor activities — adding all this up makes me feel like there is actually no future.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Demographics Don’t Matter</w:t>
      </w:r>
    </w:p>
    <w:p>
      <w:pPr>
        <w:spacing w:after="80" w:line="276" w:lineRule="auto"/>
      </w:pPr>
      <w:r>
        <w:t>Quantitative Signal: Demographic variables (Gender, Age Group, Degree Level) were found at the bottom of SHAP hierarchy and had mathematically insignificant predictive power. Qualitative Context: The interviews algorithmically confirm this dismissal. Students never attributed exhaustion to age or gender when describing it. Instead, burnout was universally attributed to behavioural demands (working part-time jobs, studying long hours) and psychological states (depression over career prospects). The machine learning model was correct in learning that a 20-year-old female and a 25-year-old male have the same burnout risk if both experience sleep deprivation, high social media consumption, and severe career anxiety.</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Burnout is not a static condition of mere study volume, but a dynamic, compounding crisis along the JD-R health impairment pathway: it begins with Systemic Academic/Career Anxiety (CGPA pressure or institutional stigma) which leads to primary Psychological Distress (depression and stress). Students unable to cope with adaptive strategies fall into Maladaptive Digital Escapism (high social media use of 5-7 hours daily), which then cascades into Biological Collapse (sleep deprivation to 5-6 hours ) This triangulated adaptation suggests that machine learning algorithms, suitably deconstructed through Explainable AI and contextualised through human interviews, can contribute meaningfully to our understanding of complex psychological phenomena. This proposed sequential pathway should be tested in future confirmatory studies using structural equation modelling in independent longitudinal samples.</w:t>
      </w:r>
    </w:p>
    <w:p>
      <w:pPr>
        <w:pStyle w:val="Heading3"/>
        <w:spacing w:before="200" w:after="60"/>
      </w:pPr>
      <w:r>
        <w:rPr>
          <w:color w:val="047857"/>
        </w:rPr>
        <w:t>9.5 Research Hypothesis &amp; Research Questions Testing</w:t>
      </w:r>
    </w:p>
    <w:p>
      <w:pPr>
        <w:spacing w:after="80" w:line="276" w:lineRule="auto"/>
      </w:pPr>
      <w:r>
        <w:t>We now explicitly and empirically close the conceptual and predictive framework set in Section 1 by formally testing the four research hypotheses (H1–H4) and four research questions (RQ1–RQ4). Testing Research Hypotheses: H1 (Algorithm Superiority): Not supported for named gradient boosting algorithms; partially supported for bagging ensemble. H1 predicted that gradient-boosted ensemble algorithms (XGBoost, LightGBM, CatBoost) would yield significantly higher F1-scores and ROC-AUC than single learners. The hypothesis was falsified for the specific gradient boosting algorithms mentioned.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&gt;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[80];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performed significantly better than the single-learner Decision Tree in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[34].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RQ4 (Triangulated Meta-Inferences &amp; Policy Implications): Discussed in Sections 9 &amp; 10. Triangulation produced a unified 4-stage compounding burnout model (Anxiety -&gt; Distress -&gt; Digital Escapism -&gt; Biological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[90]. A 10-fold cross-validated accuracy of 65.89% with a ROC-AUC of 0.7126 thus marks a modest, leak-free real-world exploratory screening baseline (~8.3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(Table 3, Section 6) showed that the difference in performance between Random Forest (Accuracy = 65.89%, F1 = 0.5199) and standard Logistic Regression (Accuracy = 64.39%, F1 = 0.5348) was not statistically significant ($\chi^2 = 0.51, p = 0.4743$). Complex gradient-boosted models (CatBoost 65.06%, $p = 0.6350$) also did not significantly outperform Logistic Regression.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findings offer a basic confirmation and extension of the Job Demands-Resources (JD-R) model [34] to the academic context. The JD-R model posits that exhaustion is the result of structural “demands” outstripping available “resources”. Our SHAP analysis and qualitative interviews revealed three demand vectors associated with burnout: 1. Academic Performance (CGPA) as the Most Important Factor: Unlike previous studies in the Western context, where part-time work or social isolation were found to be the most important factors in burnout [14], our XAI model indicated that the Academic Performance Index (Mean |SHAP| = 0.0388) and CGPA Midpoint (Mean |SHAP| = 0.0362) were the most dominant factors in burnout. This was explained by the qualitative data: in developing economies like Bangladesh, academic performance is intrinsically linked to future economic survival. The huge psychological demand is to achieve a high CGPA, or the despair of having a low CGPA (especially for National University students who are stigmatised by the institution). 2. The Digital Fatigue Paradox The ability of leisure activities to relieve stress is not new. However, the current findings suggest that unstructured social media use may be a “demand” rather than a resource. Qualitative interviews indicated students use social media as an escapist coping mechanism for academic stress (frequently over 5 hours daily), which was the third most important predictor as per SHAP. Instead of recovery, it displaces sleep duration and study time, ultimately aggravating the initial stress and co-occurring with burnout. 3. Biological Collapse (Sleep Deprivation): Sleep hours and sleep quality were very significant predictors. The triangulation pipeline discovered a seemingly behavioural pattern: academic anxiety led to digital escapism which severely restricted sleep duration (often to 5–6 hours). This constant biological deficit of resources leaves the student in a cycle of burnout which is self-perpetuating as the student is unable to meet the demands of academics the next day.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evidence of causal pathways (e.g., social media disrupts sleep), a cross-sectional design is limited in its ability to determine causality. For example, it is still possible in theory that severe burnout leads to more social media use rather than vice versa. 2. Self-Report Bias: The quantitative survey and qualitative interviews were entirely based on self-reported metrics. Variables such as `study_hours_numeric` and `sleep_hours_numeric` . Recall bias is an example . 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[91, 106]. Such external “natural” stressors probably play a massive, hidden role in the high burnout rates, especially in Dhaka, which the current algorithm cannot account for. 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more cases are identified, but the specificity is lower (56.07%). This emphasises that algorithmic risk stratification should serve solely as a non-binding decision support indicator, augmented by human clinical judgement. 5. Engineered composite features: Construct Redundancy and Self-Report Overlap `academic_performance_index` r = -0.246, `cgpa_midpoint` r = -0.264, `screen_to_sleep_ratio` r = 0.219, `burnout_vulnerability_index` r = 0.183, `motivation_deficit_score` r = 0.151, `wellbeing_buffer` r = -0.076 Aggregate correlated self-report survey items These moderate-to-moderate correlations are consistent with theoretical construct overlap in the JD-R and COR frameworks and not direct target proxy leakage or circularity. Future studies should include objective physiological indicators (wearable heart rate variability, actigraphy sleep metrics) along with self-report instruments. 6. Authors’ Reflexivity and Dual-Role Limitation The first author was responsible for survey collection, ML pipeline development, and qualitative coding. We used temporal separation (open qualitative coding prior to SHAP execution) and a 25% independent inter-rater check (Cohen’s = 0.82), however it is hard to completely eliminate researcher reflexivity in single-primary-investigator mixed-methods designs. 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[30, 114]. Moreover, the cohort was restricted to Bangladeshi universities, and thus the specific institutional dynamics – including the stigma of the National University system – may not directly translate to Western higher education contexts.</w:t>
      </w:r>
    </w:p>
    <w:p>
      <w:pPr>
        <w:pStyle w:val="Heading4"/>
        <w:spacing w:before="160" w:after="40"/>
      </w:pPr>
      <w:r>
        <w:t>9.10.2 Some ideas for further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found a small, but statistically significant, predictive signal for student burnout. The Random Forest and Soft Voting ensembles showed limited predictive power on complex non-linear psychological data, achieving a cross-validated accuracy of 65.89% (ROC-AUC = 0.7126) and 65.89% (ROC-AUC = 0.7069) respectively on inherently noisy self-report data.</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successfully humanised this computational hierarchy. The qualitative stream showed strong convergence with the SHAP values and identified a clear behavioural pattern: students suffering from extreme career anxiety (CGPA/institutional stigma) indulge in excessive social media use (often &gt;5 hours/day) as a maladaptive escape mechanism, which in turn demolishes their sleep architecture and guarantees severe, chronic burnout. Crucially, the qualitative analysis also identified a new phenomenon of “low-pressure burnout” among students at the National University, in which exhaustion is caused solely by institutional marginalisation and future hopelessness, and not by a heavy workload.</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