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BB6" w:rsidRDefault="0044650C">
      <w:pPr>
        <w:pStyle w:val="Heading1"/>
        <w:spacing w:before="280" w:after="120"/>
      </w:pPr>
      <w:r>
        <w:rPr>
          <w:color w:val="0F172A"/>
        </w:rPr>
        <w:t>Explainable Machine Learning for Student Burnout Classification and Risk Stratification: A Mixed-Methods Study with Qualitative Triangulation</w:t>
      </w:r>
    </w:p>
    <w:p w:rsidR="00A43BB6" w:rsidRDefault="0044650C">
      <w:pPr>
        <w:spacing w:after="80"/>
      </w:pPr>
      <w:r>
        <w:t>Rifat Miah1,*, Student Member, IEEE and Dr. A.S.M. Shihavuddin2, Senior Member, IEEE</w:t>
      </w:r>
    </w:p>
    <w:p w:rsidR="00A43BB6" w:rsidRDefault="0044650C">
      <w:pPr>
        <w:spacing w:after="80"/>
      </w:pPr>
      <w:r>
        <w:t>1 Department of Computer Science and Engineering, Presidency University, Dhaka 1212, Bangladesh</w:t>
      </w:r>
    </w:p>
    <w:p w:rsidR="00A43BB6" w:rsidRDefault="0044650C">
      <w:pPr>
        <w:spacing w:after="80"/>
      </w:pPr>
      <w:r>
        <w:t>2 Department of Electrical and Electronic Engineering, Green University of Bangladesh, Dhaka 1207, Bangladesh</w:t>
      </w:r>
    </w:p>
    <w:p w:rsidR="00A43BB6" w:rsidRDefault="0044650C">
      <w:pPr>
        <w:pStyle w:val="ListBullet"/>
        <w:spacing w:after="80"/>
      </w:pPr>
      <w:r>
        <w:t>Corresponding Author: Rifat Miah (Email: `rifatmiah1992003@gmail.com`, ORCID: [0009-0002-1434-5678](https://orcid.org/0009-0002-1434-5678))</w:t>
      </w:r>
    </w:p>
    <w:p w:rsidR="00A43BB6" w:rsidRDefault="0044650C">
      <w:pPr>
        <w:spacing w:after="80"/>
      </w:pPr>
      <w:r>
        <w:t>Co-Author: Dr. A.S.M. Shihavuddin (Email: `shihav@eee.green.edu.bd`, ORCID: [0000-0002-8924-1188](https://orcid.org/0000-0002-8924-1188))</w:t>
      </w:r>
    </w:p>
    <w:p w:rsidR="00A43BB6" w:rsidRDefault="0044650C">
      <w:pPr>
        <w:pStyle w:val="Heading2"/>
        <w:spacing w:before="240" w:after="80"/>
      </w:pPr>
      <w:r>
        <w:rPr>
          <w:color w:val="1E3A8A"/>
        </w:rPr>
        <w:t>Abstract</w:t>
      </w:r>
    </w:p>
    <w:p w:rsidR="00A43BB6" w:rsidRDefault="0044650C">
      <w:pPr>
        <w:spacing w:after="80"/>
      </w:pPr>
      <w:r>
        <w:rPr>
          <w:b/>
        </w:rPr>
        <w:t>Background</w:t>
      </w:r>
      <w:r>
        <w:t xml:space="preserve">: Academic burnout has become a major mental health challenge across higher education institutions, particularly in resource-constrained South Asian universities where structural counseling infrastructure is scarce. Current institutional screening frameworks remain constrained by isolated psychometric surveys, opaque decision algorithms, and an absence of contextual qualitative inquiry. </w:t>
      </w:r>
      <w:r>
        <w:rPr>
          <w:b/>
        </w:rPr>
        <w:t>Methods</w:t>
      </w:r>
      <w:r>
        <w:t xml:space="preserve">: We implemented an explanatory sequential mixed-methods design (QUAN → QUAL) on a primary cross-sectional cohort of N = 601 university undergraduates in Bangladesh. Quantitative modeling established baseline risk indicators through 10 supervised classification algorithms and a Soft Voting Ensemble evaluated via 10-fold stratified cross-validation. Nine domain-engineered composite indices operationalizing Conservation of Resources (COR) and Job Demands-Resources (JD-R) frameworks were incorporated, demonstrating modest-to-moderate construct correlations (|r| = 0.015 to 0.264) without circular target leakage. The quantitative feature rankings directly guided purposive nested sub-sampling of N = 20 students for qualitative semi-structured interviews. </w:t>
      </w:r>
      <w:r>
        <w:rPr>
          <w:b/>
        </w:rPr>
        <w:t>Results</w:t>
      </w:r>
      <w:r>
        <w:t xml:space="preserve">: Random Forest yielded the leading classification performance (Accuracy = 65.89%, ROC-AUC = 0.7126), providing a statistically significant 8.3 percentage-point gain over the 57.57% majority baseline (McNemar p &lt; .001) while remaining comparable to Logistic Regression (64.39%, McNemar p = 0.4743). Calibrating the decision threshold to th = 0.38 raised sensitivity to 71.76% (identifying 183 of 255 high-burnout students) for high-coverage voluntary screening. Global SHAP analysis identified academic performance index, CGPA midpoint, and screen-to-sleep ratio as the primary risk factors, whereas sociodemographic markers contributed negligibly (mean |SHAP| &lt; 0.007). Reflexive thematic analysis of 20 interview transcripts corroborated these attributions and revealed an unmeasured dimension: institutional identity strain and career despair among National University students experiencing low academic workloads. </w:t>
      </w:r>
      <w:r>
        <w:rPr>
          <w:b/>
        </w:rPr>
        <w:t>Conclusion</w:t>
      </w:r>
      <w:r>
        <w:t>: Integrating supervised learning, game-theoretic explainability (SHAP), and reflexive qualitative analysis outlines an interconnected burnout sequence — career anxiety → psychological distress → digital escapism → biological sleep collapse. These findings establish a transparent, non-binding screening baseline to guide supportive campus mental health and mentoring systems.</w:t>
      </w:r>
    </w:p>
    <w:p w:rsidR="00A43BB6" w:rsidRDefault="0044650C">
      <w:pPr>
        <w:spacing w:after="80"/>
      </w:pPr>
      <w:r>
        <w:rPr>
          <w:b/>
        </w:rPr>
        <w:lastRenderedPageBreak/>
        <w:t>Keywords: Academic Burnout, Explainable Artificial Intelligence (XAI), SHAP, Supervised Machine Learning, Explanatory Sequential Mixed-Methods, Student Mental Health, Educational Data Mining.</w:t>
      </w:r>
    </w:p>
    <w:p w:rsidR="00A43BB6" w:rsidRDefault="0044650C">
      <w:pPr>
        <w:pStyle w:val="Heading2"/>
        <w:spacing w:before="240" w:after="80"/>
      </w:pPr>
      <w:r>
        <w:rPr>
          <w:color w:val="1E3A8A"/>
        </w:rPr>
        <w:t>1. Introduction</w:t>
      </w:r>
    </w:p>
    <w:p w:rsidR="00A43BB6" w:rsidRDefault="0044650C">
      <w:pPr>
        <w:pStyle w:val="Heading3"/>
        <w:spacing w:after="60"/>
      </w:pPr>
      <w:r>
        <w:rPr>
          <w:color w:val="047857"/>
        </w:rPr>
        <w:t>1.1 Background of the Study</w:t>
      </w:r>
    </w:p>
    <w:p w:rsidR="0044650C" w:rsidRPr="0044650C" w:rsidRDefault="0044650C" w:rsidP="0044650C">
      <w:pPr>
        <w:spacing w:after="0" w:line="240" w:lineRule="auto"/>
        <w:rPr>
          <w:rFonts w:ascii="Cambria" w:eastAsia="Times New Roman" w:hAnsi="Cambria" w:cs="Times New Roman"/>
          <w:sz w:val="24"/>
          <w:szCs w:val="24"/>
          <w:lang w:val="en-GB" w:eastAsia="en-GB" w:bidi="bn-BD"/>
        </w:rPr>
      </w:pPr>
      <w:r w:rsidRPr="0044650C">
        <w:rPr>
          <w:rFonts w:ascii="Cambria" w:eastAsia="Times New Roman" w:hAnsi="Cambria" w:cs="Times New Roman"/>
          <w:sz w:val="24"/>
          <w:szCs w:val="24"/>
          <w:lang w:val="en-GB" w:eastAsia="en-GB" w:bidi="bn-BD"/>
        </w:rPr>
        <w:t xml:space="preserve">Academic burnout is a serious and increasing problem in modern higher education among university students [1]. Burnout is defined as chronic emotional exhaustion, depersonalisation or cynicism toward one’s coursework, and a diminishing sense of personal accomplishment [2], and goes beyond the typical academic fatigue. It shows up as systemic student disengagement with long-term consequences for academic persistence, degree completion and post-graduate health. Stress levels have been rising on university campuses across the world in recent years, due to heavier course loads, competitive assessment schemes, uncertainties regarding employment, and the ever-present digital distractions [3, 4]. </w:t>
      </w:r>
      <w:r w:rsidRPr="0044650C">
        <w:rPr>
          <w:rFonts w:ascii="Cambria" w:eastAsia="Times New Roman" w:hAnsi="Cambria" w:cs="Times New Roman"/>
          <w:sz w:val="24"/>
          <w:szCs w:val="24"/>
          <w:lang w:val="en-GB" w:eastAsia="en-GB" w:bidi="bn-BD"/>
        </w:rPr>
        <w:br/>
        <w:t xml:space="preserve">The magnitude of this problem is documented in the international literature. The World Health Organization [10] recognised burnout as an occupational syndrome in ICD-11, recognising that unaddressed chronic stress leads to serious health consequences. While the conceptualisation of the framework was initially done in work environments [5], the framework is readily transferable to higher education, where university students face cognitive workloads, deadlines, and performance evaluations that are similar to professional demands [6]. Cross-national studies estimate that 30 to 50% of undergraduates suffer from clinically relevant burnout [7–9]. Rates of burnout are especially high in heavy-workload disciplines and developing economies [7–9]. </w:t>
      </w:r>
      <w:r w:rsidRPr="0044650C">
        <w:rPr>
          <w:rFonts w:ascii="Cambria" w:eastAsia="Times New Roman" w:hAnsi="Cambria" w:cs="Times New Roman"/>
          <w:sz w:val="24"/>
          <w:szCs w:val="24"/>
          <w:lang w:val="en-GB" w:eastAsia="en-GB" w:bidi="bn-BD"/>
        </w:rPr>
        <w:br/>
        <w:t xml:space="preserve">This challenge is further compounded by structural constraints in South Asia. Over the past two decades, university enrolment in Bangladesh has grown rapidly but institutional mental health services, student counselling centers and faculty mentoring programs have lagged [10, 12]. Recent assessments [13] indicated that over 40% of Bangladeshi university students experience high levels of burnout symptoms, which are often correlated to high levels of anxiety, depressive affect, and poor academic performance. </w:t>
      </w:r>
      <w:r w:rsidRPr="0044650C">
        <w:rPr>
          <w:rFonts w:ascii="Cambria" w:eastAsia="Times New Roman" w:hAnsi="Cambria" w:cs="Times New Roman"/>
          <w:sz w:val="24"/>
          <w:szCs w:val="24"/>
          <w:lang w:val="en-GB" w:eastAsia="en-GB" w:bidi="bn-BD"/>
        </w:rPr>
        <w:br/>
        <w:t xml:space="preserve">The need is clear, but burnout is difficult to identify before it leads to course failure or institutional dropout. Traditionally, universities have relied on retrospective, end-of-term evaluations—tools that document burnout only after emotional exhaustion and academic decline have already set in [14]. Furthermore, burnout is due to interdependent lifestyle habits, psychological vulnerabilities and institutional pressures which cannot be captured adequately by univariate cutoffs [15]. This complexity requires predictive methods that can identify multivariate patterns across behavioural and academic indicators. </w:t>
      </w:r>
      <w:r w:rsidRPr="0044650C">
        <w:rPr>
          <w:rFonts w:ascii="Cambria" w:eastAsia="Times New Roman" w:hAnsi="Cambria" w:cs="Times New Roman"/>
          <w:sz w:val="24"/>
          <w:szCs w:val="24"/>
          <w:lang w:val="en-GB" w:eastAsia="en-GB" w:bidi="bn-BD"/>
        </w:rPr>
        <w:br/>
        <w:t xml:space="preserve">Supervised machine learning (ML) offers an analytical framework for identifying risk signatures in observational student data [16, 17]. Predictive algorithms have shown promise in educational data mining and precision psychiatry predicting dropout risk, academic struggle and depressive symptoms [17–19]. Existing ML studies on student mental health suffer from two major shortcomings. First, most models are trained and tested on single institution datasets with only internal cross-validation, and thus generalisability across distinct student cohorts is unverified [20]. Second, the opacity of </w:t>
      </w:r>
      <w:r w:rsidRPr="0044650C">
        <w:rPr>
          <w:rFonts w:ascii="Cambria" w:eastAsia="Times New Roman" w:hAnsi="Cambria" w:cs="Times New Roman"/>
          <w:sz w:val="24"/>
          <w:szCs w:val="24"/>
          <w:lang w:val="en-GB" w:eastAsia="en-GB" w:bidi="bn-BD"/>
        </w:rPr>
        <w:lastRenderedPageBreak/>
        <w:t xml:space="preserve">“black-box” models, without providing explanations, makes it difficult to understand why certain students are identified as high risk, which hinders their practical use by university counsellors and administrators, who need actionable explanations [23, 25]. </w:t>
      </w:r>
      <w:r w:rsidRPr="0044650C">
        <w:rPr>
          <w:rFonts w:ascii="Cambria" w:eastAsia="Times New Roman" w:hAnsi="Cambria" w:cs="Times New Roman"/>
          <w:sz w:val="24"/>
          <w:szCs w:val="24"/>
          <w:lang w:val="en-GB" w:eastAsia="en-GB" w:bidi="bn-BD"/>
        </w:rPr>
        <w:br/>
        <w:t xml:space="preserve">Explainable artificial intelligence (XAI) frameworks, specifically SHapley Additive exPlanations (SHAP) based on cooperative game theory [24], overcome this interpretability barrier by quantifying the contribution of each feature to the overall model behaviour [23]. SHAP can also be used for transparent algorithmic auditing [22, 25], quantifying the influence of academic metrics, sleep schedules and lifestyle factors on risk classifications. </w:t>
      </w:r>
      <w:r w:rsidRPr="0044650C">
        <w:rPr>
          <w:rFonts w:ascii="Cambria" w:eastAsia="Times New Roman" w:hAnsi="Cambria" w:cs="Times New Roman"/>
          <w:sz w:val="24"/>
          <w:szCs w:val="24"/>
          <w:lang w:val="en-GB" w:eastAsia="en-GB" w:bidi="bn-BD"/>
        </w:rPr>
        <w:br/>
        <w:t>Yet, the experience of academic stress in students' daily lives cannot be fully explained by statistical modelling alone. The numeric survey responses cannot provide the important context offered by narrative descriptions of employment challenges, sleep deprivation, smartphone use and institutional stigma [26]. Mixed-methods research designs that integrate quantitative predictive models with qualitative inquiry can yield triangulated insights with greater practical relevance than either method in isolation [27, 37]. However, there is a dearth of literature on student burnout that combines supervised machine learning with qualitative thematic analysis.</w:t>
      </w:r>
    </w:p>
    <w:p w:rsidR="00A43BB6" w:rsidRDefault="0044650C">
      <w:pPr>
        <w:pStyle w:val="Heading3"/>
        <w:spacing w:after="60"/>
      </w:pPr>
      <w:r>
        <w:rPr>
          <w:color w:val="047857"/>
        </w:rPr>
        <w:t>1.2 Statement of the Problem</w:t>
      </w:r>
    </w:p>
    <w:p w:rsidR="0044650C" w:rsidRPr="0044650C" w:rsidRDefault="0044650C" w:rsidP="0044650C">
      <w:pPr>
        <w:spacing w:after="0" w:line="240" w:lineRule="auto"/>
        <w:rPr>
          <w:rFonts w:ascii="Cambria" w:eastAsia="Times New Roman" w:hAnsi="Cambria" w:cs="Times New Roman"/>
          <w:sz w:val="24"/>
          <w:szCs w:val="24"/>
          <w:lang w:val="en-GB" w:eastAsia="en-GB" w:bidi="bn-BD"/>
        </w:rPr>
      </w:pPr>
      <w:r w:rsidRPr="0044650C">
        <w:rPr>
          <w:rFonts w:ascii="Cambria" w:eastAsia="Times New Roman" w:hAnsi="Cambria" w:cs="Times New Roman"/>
          <w:sz w:val="24"/>
          <w:szCs w:val="24"/>
          <w:lang w:val="en-GB" w:eastAsia="en-GB" w:bidi="bn-BD"/>
        </w:rPr>
        <w:t xml:space="preserve">Although the number of studies that investigated correlates of academic burnout is large [1, 26], the existing literature suffers from four major limitations. First, most of the machine learning applications are fully dependent on single source datasets without assessing the robustness on sub-populations [28]. Second, few educational models incorporate game-theoretic XAI techniques to go beyond simple feature counts to interpretable attributions [23, 25]. Third, there is a paucity of psychometric predictive research in developing countries where socio-economic realities, academic structures and counselling resources are very different from Western contexts [10, 12]. Fourth and most importantly, few studies integrate machine learning classification, SHAP interpretability, and qualitative thematic analysis in an explanatory sequential mixed-methods design (QUAN → QUAL) [25, 111, 123]. </w:t>
      </w:r>
      <w:r w:rsidRPr="0044650C">
        <w:rPr>
          <w:rFonts w:ascii="Cambria" w:eastAsia="Times New Roman" w:hAnsi="Cambria" w:cs="Times New Roman"/>
          <w:sz w:val="24"/>
          <w:szCs w:val="24"/>
          <w:lang w:val="en-GB" w:eastAsia="en-GB" w:bidi="bn-BD"/>
        </w:rPr>
        <w:br/>
        <w:t xml:space="preserve">These gaps are particularly relevant in Bangladesh. Predictive models without qualitative validation risk misinterpreting local behavioural patterns and misallocating limited campus counselling resources. </w:t>
      </w:r>
      <w:r w:rsidRPr="0044650C">
        <w:rPr>
          <w:rFonts w:ascii="Cambria" w:eastAsia="Times New Roman" w:hAnsi="Cambria" w:cs="Times New Roman"/>
          <w:sz w:val="24"/>
          <w:szCs w:val="24"/>
          <w:lang w:val="en-GB" w:eastAsia="en-GB" w:bidi="bn-BD"/>
        </w:rPr>
        <w:br/>
        <w:t>To address these obstacles, this study addresses the following overarching question: How can an explanatory sequential mixed-methods design—integrating supervised machine learning, SHAP feature interpretability, and qualitative interview analysis—develop an accurate, interpretable, and contextually grounded predictive framework for university student burnout?</w:t>
      </w:r>
    </w:p>
    <w:p w:rsidR="00A43BB6" w:rsidRDefault="0044650C">
      <w:pPr>
        <w:pStyle w:val="Heading3"/>
        <w:spacing w:after="60"/>
      </w:pPr>
      <w:r>
        <w:rPr>
          <w:color w:val="047857"/>
        </w:rPr>
        <w:t>1.3 Research Questions</w:t>
      </w:r>
    </w:p>
    <w:p w:rsidR="0044650C" w:rsidRPr="0044650C" w:rsidRDefault="0044650C" w:rsidP="0044650C">
      <w:pPr>
        <w:spacing w:after="0" w:line="240" w:lineRule="auto"/>
        <w:rPr>
          <w:rFonts w:ascii="Cambria" w:eastAsia="Times New Roman" w:hAnsi="Cambria" w:cs="Times New Roman"/>
          <w:sz w:val="24"/>
          <w:szCs w:val="24"/>
          <w:lang w:val="en-GB" w:eastAsia="en-GB" w:bidi="bn-BD"/>
        </w:rPr>
      </w:pPr>
      <w:r w:rsidRPr="0044650C">
        <w:rPr>
          <w:rFonts w:ascii="Cambria" w:eastAsia="Times New Roman" w:hAnsi="Cambria" w:cs="Times New Roman"/>
          <w:sz w:val="24"/>
          <w:szCs w:val="24"/>
          <w:lang w:val="en-GB" w:eastAsia="en-GB" w:bidi="bn-BD"/>
        </w:rPr>
        <w:t xml:space="preserve">More specifically, the investigation deals with the following four research questions in its quantitative, qualitative and integrative sections: </w:t>
      </w:r>
      <w:r w:rsidRPr="0044650C">
        <w:rPr>
          <w:rFonts w:ascii="Cambria" w:eastAsia="Times New Roman" w:hAnsi="Cambria" w:cs="Times New Roman"/>
          <w:sz w:val="24"/>
          <w:szCs w:val="24"/>
          <w:lang w:val="en-GB" w:eastAsia="en-GB" w:bidi="bn-BD"/>
        </w:rPr>
        <w:br/>
        <w:t xml:space="preserve">RQ1. Which supervised machine learning algorithm provides the best predictive performance for binary student burnout classification (High vs. Low/Medium) based on 10-fold stratified cross-validation on primary survey data? </w:t>
      </w:r>
      <w:r w:rsidRPr="0044650C">
        <w:rPr>
          <w:rFonts w:ascii="Cambria" w:eastAsia="Times New Roman" w:hAnsi="Cambria" w:cs="Times New Roman"/>
          <w:sz w:val="24"/>
          <w:szCs w:val="24"/>
          <w:lang w:val="en-GB" w:eastAsia="en-GB" w:bidi="bn-BD"/>
        </w:rPr>
        <w:br/>
        <w:t xml:space="preserve">RQ2. What are the most important predictors of burnout in terms of behavioural, </w:t>
      </w:r>
      <w:r w:rsidRPr="0044650C">
        <w:rPr>
          <w:rFonts w:ascii="Cambria" w:eastAsia="Times New Roman" w:hAnsi="Cambria" w:cs="Times New Roman"/>
          <w:sz w:val="24"/>
          <w:szCs w:val="24"/>
          <w:lang w:val="en-GB" w:eastAsia="en-GB" w:bidi="bn-BD"/>
        </w:rPr>
        <w:lastRenderedPageBreak/>
        <w:t xml:space="preserve">psychological and academic features from the global SHAP feature importance analysis? </w:t>
      </w:r>
      <w:r w:rsidRPr="0044650C">
        <w:rPr>
          <w:rFonts w:ascii="Cambria" w:eastAsia="Times New Roman" w:hAnsi="Cambria" w:cs="Times New Roman"/>
          <w:sz w:val="24"/>
          <w:szCs w:val="24"/>
          <w:lang w:val="en-GB" w:eastAsia="en-GB" w:bidi="bn-BD"/>
        </w:rPr>
        <w:br/>
        <w:t xml:space="preserve">RQ3. What are the main themes of university students’ lived experiences of academic burnout in semi-structured qualitative interviews and how do these narratives correspond with quantitative feature rankings? </w:t>
      </w:r>
      <w:r w:rsidRPr="0044650C">
        <w:rPr>
          <w:rFonts w:ascii="Cambria" w:eastAsia="Times New Roman" w:hAnsi="Cambria" w:cs="Times New Roman"/>
          <w:sz w:val="24"/>
          <w:szCs w:val="24"/>
          <w:lang w:val="en-GB" w:eastAsia="en-GB" w:bidi="bn-BD"/>
        </w:rPr>
        <w:br/>
        <w:t>RQ4. What are the meta-inferences from the triangulation of algorithmic predictions, XAI feature attributions and qualitative student narratives, and what are the practical implications for campus mental health support?</w:t>
      </w:r>
    </w:p>
    <w:p w:rsidR="00A43BB6" w:rsidRDefault="0044650C">
      <w:pPr>
        <w:pStyle w:val="Heading3"/>
        <w:spacing w:after="60"/>
      </w:pPr>
      <w:r>
        <w:rPr>
          <w:color w:val="047857"/>
        </w:rPr>
        <w:t>1.4 Research Hypotheses</w:t>
      </w:r>
    </w:p>
    <w:p w:rsidR="0044650C" w:rsidRPr="0044650C" w:rsidRDefault="0044650C" w:rsidP="0044650C">
      <w:pPr>
        <w:spacing w:after="0" w:line="240" w:lineRule="auto"/>
        <w:rPr>
          <w:rFonts w:ascii="Cambria" w:eastAsia="Times New Roman" w:hAnsi="Cambria" w:cs="Times New Roman"/>
          <w:sz w:val="24"/>
          <w:szCs w:val="24"/>
          <w:lang w:val="en-GB" w:eastAsia="en-GB" w:bidi="bn-BD"/>
        </w:rPr>
      </w:pPr>
      <w:r w:rsidRPr="0044650C">
        <w:rPr>
          <w:rFonts w:ascii="Cambria" w:eastAsia="Times New Roman" w:hAnsi="Cambria" w:cs="Times New Roman"/>
          <w:sz w:val="24"/>
          <w:szCs w:val="24"/>
          <w:lang w:val="en-GB" w:eastAsia="en-GB" w:bidi="bn-BD"/>
        </w:rPr>
        <w:t xml:space="preserve">Based on the COR (Conservation of Resources) theory [31], the Job Demands-Resources (JD-R) model [32] and the previous empirical literature [1,4], we hypothesise the following four hypotheses: </w:t>
      </w:r>
      <w:r w:rsidRPr="0044650C">
        <w:rPr>
          <w:rFonts w:ascii="Cambria" w:eastAsia="Times New Roman" w:hAnsi="Cambria" w:cs="Times New Roman"/>
          <w:sz w:val="24"/>
          <w:szCs w:val="24"/>
          <w:lang w:val="en-GB" w:eastAsia="en-GB" w:bidi="bn-BD"/>
        </w:rPr>
        <w:br/>
        <w:t xml:space="preserve">H1. Ensemble-based classifiers (e.g. Random Forest, XGBoost [96], LightGBM [113], CatBoost [97]) will perform better than single learner models (e.g. Logistic Regression, Decision Tree) on F1-scores and ROC-AUC metrics. </w:t>
      </w:r>
      <w:r w:rsidRPr="0044650C">
        <w:rPr>
          <w:rFonts w:ascii="Cambria" w:eastAsia="Times New Roman" w:hAnsi="Cambria" w:cs="Times New Roman"/>
          <w:sz w:val="24"/>
          <w:szCs w:val="24"/>
          <w:lang w:val="en-GB" w:eastAsia="en-GB" w:bidi="bn-BD"/>
        </w:rPr>
        <w:br/>
        <w:t xml:space="preserve">H2. The highest SHAP feature importance predictors would be academic performance indices and psychological demands (i.e., the academic performance index, the CGPA midpoint, the screen-to-sleep ratio, and the burnout vulnerability index). </w:t>
      </w:r>
      <w:r w:rsidRPr="0044650C">
        <w:rPr>
          <w:rFonts w:ascii="Cambria" w:eastAsia="Times New Roman" w:hAnsi="Cambria" w:cs="Times New Roman"/>
          <w:sz w:val="24"/>
          <w:szCs w:val="24"/>
          <w:lang w:val="en-GB" w:eastAsia="en-GB" w:bidi="bn-BD"/>
        </w:rPr>
        <w:br/>
        <w:t xml:space="preserve">H3. According to COR theory’s resource-preservation principles, resource-related indicators (sleep quality, physical activity, wellbeing buffer) will be negatively associated with severity of burnout. </w:t>
      </w:r>
      <w:r w:rsidRPr="0044650C">
        <w:rPr>
          <w:rFonts w:ascii="Cambria" w:eastAsia="Times New Roman" w:hAnsi="Cambria" w:cs="Times New Roman"/>
          <w:sz w:val="24"/>
          <w:szCs w:val="24"/>
          <w:lang w:val="en-GB" w:eastAsia="en-GB" w:bidi="bn-BD"/>
        </w:rPr>
        <w:br/>
        <w:t>H4. Burnout is affected by several factors such as academic workload, digital fatigue, lack of sleep, and work demand. Qualitative themes from the student interviews will be leveraged to help identify major contributors to burnout and support the quantitative feature importance hierarchy.</w:t>
      </w:r>
    </w:p>
    <w:p w:rsidR="00A43BB6" w:rsidRDefault="0044650C">
      <w:pPr>
        <w:pStyle w:val="Heading3"/>
        <w:spacing w:after="60"/>
      </w:pPr>
      <w:r>
        <w:rPr>
          <w:color w:val="047857"/>
        </w:rPr>
        <w:t>1.5 Conceptual Framework</w:t>
      </w:r>
    </w:p>
    <w:p w:rsidR="008053E8" w:rsidRDefault="008053E8" w:rsidP="008053E8">
      <w:pPr>
        <w:spacing w:after="0" w:line="240" w:lineRule="auto"/>
        <w:rPr>
          <w:rFonts w:ascii="Times New Roman" w:eastAsia="Times New Roman" w:hAnsi="Times New Roman" w:cs="Times New Roman"/>
          <w:sz w:val="24"/>
          <w:szCs w:val="24"/>
          <w:lang w:val="en-GB" w:eastAsia="en-GB" w:bidi="bn-BD"/>
        </w:rPr>
      </w:pPr>
      <w:r w:rsidRPr="008053E8">
        <w:rPr>
          <w:rFonts w:ascii="Times New Roman" w:eastAsia="Times New Roman" w:hAnsi="Times New Roman" w:cs="Times New Roman"/>
          <w:sz w:val="24"/>
          <w:szCs w:val="24"/>
          <w:lang w:val="en-GB" w:eastAsia="en-GB" w:bidi="bn-BD"/>
        </w:rPr>
        <w:t xml:space="preserve">In this study, an explanatory sequential mixed-methods design (QUAN → QUAL) is utilised with two primary analytical phases: (1) Quantitative supervised machine learning with SHAP explainability, and (2) Qualitative reflexive thematic analysis. The conceptual framework describes burnout as an emergent phenomenon arising from five clusters of interacting factors: </w:t>
      </w:r>
    </w:p>
    <w:p w:rsidR="008053E8" w:rsidRDefault="008053E8" w:rsidP="008053E8">
      <w:pPr>
        <w:spacing w:after="0" w:line="240" w:lineRule="auto"/>
        <w:rPr>
          <w:rFonts w:ascii="Times New Roman" w:eastAsia="Times New Roman" w:hAnsi="Times New Roman" w:cs="Times New Roman"/>
          <w:sz w:val="24"/>
          <w:szCs w:val="24"/>
          <w:lang w:val="en-GB" w:eastAsia="en-GB" w:bidi="bn-BD"/>
        </w:rPr>
      </w:pPr>
      <w:r w:rsidRPr="008053E8">
        <w:rPr>
          <w:rFonts w:ascii="Times New Roman" w:eastAsia="Times New Roman" w:hAnsi="Times New Roman" w:cs="Times New Roman"/>
          <w:sz w:val="24"/>
          <w:szCs w:val="24"/>
          <w:lang w:val="en-GB" w:eastAsia="en-GB" w:bidi="bn-BD"/>
        </w:rPr>
        <w:t xml:space="preserve">• Academic Demands: Study hours, academic pressure and workload score. Psychological Vulnerability: self-report of depression and stress. </w:t>
      </w:r>
    </w:p>
    <w:p w:rsidR="008053E8" w:rsidRDefault="008053E8" w:rsidP="008053E8">
      <w:pPr>
        <w:spacing w:after="0" w:line="240" w:lineRule="auto"/>
        <w:rPr>
          <w:rFonts w:ascii="Times New Roman" w:eastAsia="Times New Roman" w:hAnsi="Times New Roman" w:cs="Times New Roman"/>
          <w:sz w:val="24"/>
          <w:szCs w:val="24"/>
          <w:lang w:val="en-GB" w:eastAsia="en-GB" w:bidi="bn-BD"/>
        </w:rPr>
      </w:pPr>
      <w:r w:rsidRPr="008053E8">
        <w:rPr>
          <w:rFonts w:ascii="Times New Roman" w:eastAsia="Times New Roman" w:hAnsi="Times New Roman" w:cs="Times New Roman"/>
          <w:sz w:val="24"/>
          <w:szCs w:val="24"/>
          <w:lang w:val="en-GB" w:eastAsia="en-GB" w:bidi="bn-BD"/>
        </w:rPr>
        <w:t xml:space="preserve">• Lifestyle &amp; Behavioural Habits: Sleep duration, sleep quality, physical activity, and social media consumption. </w:t>
      </w:r>
    </w:p>
    <w:p w:rsidR="008053E8" w:rsidRDefault="008053E8" w:rsidP="008053E8">
      <w:pPr>
        <w:spacing w:after="0" w:line="240" w:lineRule="auto"/>
        <w:rPr>
          <w:rFonts w:ascii="Times New Roman" w:eastAsia="Times New Roman" w:hAnsi="Times New Roman" w:cs="Times New Roman"/>
          <w:sz w:val="24"/>
          <w:szCs w:val="24"/>
          <w:lang w:val="en-GB" w:eastAsia="en-GB" w:bidi="bn-BD"/>
        </w:rPr>
      </w:pPr>
      <w:r w:rsidRPr="008053E8">
        <w:rPr>
          <w:rFonts w:ascii="Times New Roman" w:eastAsia="Times New Roman" w:hAnsi="Times New Roman" w:cs="Times New Roman"/>
          <w:sz w:val="24"/>
          <w:szCs w:val="24"/>
          <w:lang w:val="en-GB" w:eastAsia="en-GB" w:bidi="bn-BD"/>
        </w:rPr>
        <w:t xml:space="preserve">• Sociodemographic Characteristics: Age, gender, academic year, and level of degree. </w:t>
      </w:r>
    </w:p>
    <w:p w:rsidR="008053E8" w:rsidRDefault="008053E8" w:rsidP="008053E8">
      <w:pPr>
        <w:spacing w:after="0" w:line="240" w:lineRule="auto"/>
        <w:rPr>
          <w:rFonts w:ascii="Times New Roman" w:eastAsia="Times New Roman" w:hAnsi="Times New Roman" w:cs="Times New Roman"/>
          <w:sz w:val="24"/>
          <w:szCs w:val="24"/>
          <w:lang w:val="en-GB" w:eastAsia="en-GB" w:bidi="bn-BD"/>
        </w:rPr>
      </w:pPr>
      <w:r w:rsidRPr="008053E8">
        <w:rPr>
          <w:rFonts w:ascii="Times New Roman" w:eastAsia="Times New Roman" w:hAnsi="Times New Roman" w:cs="Times New Roman"/>
          <w:sz w:val="24"/>
          <w:szCs w:val="24"/>
          <w:lang w:val="en-GB" w:eastAsia="en-GB" w:bidi="bn-BD"/>
        </w:rPr>
        <w:t xml:space="preserve">• Structural Resources &amp; Performance: Biological sleep recovery, Physical exercise, Motivation score, CGPA, attendance. </w:t>
      </w:r>
    </w:p>
    <w:p w:rsidR="008053E8" w:rsidRPr="008053E8" w:rsidRDefault="008053E8" w:rsidP="008053E8">
      <w:pPr>
        <w:spacing w:after="0" w:line="240" w:lineRule="auto"/>
        <w:rPr>
          <w:rFonts w:ascii="Times New Roman" w:eastAsia="Times New Roman" w:hAnsi="Times New Roman" w:cs="Times New Roman"/>
          <w:sz w:val="24"/>
          <w:szCs w:val="24"/>
          <w:lang w:val="en-GB" w:eastAsia="en-GB" w:bidi="bn-BD"/>
        </w:rPr>
      </w:pPr>
      <w:r w:rsidRPr="008053E8">
        <w:rPr>
          <w:rFonts w:ascii="Times New Roman" w:eastAsia="Times New Roman" w:hAnsi="Times New Roman" w:cs="Times New Roman"/>
          <w:sz w:val="24"/>
          <w:szCs w:val="24"/>
          <w:lang w:val="en-GB" w:eastAsia="en-GB" w:bidi="bn-BD"/>
        </w:rPr>
        <w:br/>
        <w:t>In the first quantitative phase (QUAN), these variables are evaluated across 10 supervised classifiers and a Soft Voting Ensemble through 10-fold stratified cross-validation on N = 601 survey records, followed by SHAP feature attribution. In the subsequent qualitative part (QUAL) a purposive sub-sample of N = 20 students from low, medium and high burnout tiers participates in semi-structured interviews. Triangulating both strands yields integrated meta-inferences about the structural mechanisms of student burnout.</w:t>
      </w:r>
    </w:p>
    <w:p>
      <w:pPr>
        <w:pStyle w:val="Heading3"/>
        <w:spacing w:after="60"/>
      </w:pPr>
      <w:r>
        <w:rPr>
          <w:color w:val="047857"/>
        </w:rPr>
        <w:t xml:space="preserve">1.6 Theoretical Framework</w:t>
      </w:r>
    </w:p>
    <w:p>
      <w:pPr>
        <w:spacing w:after="0" w:line="240" w:lineRule="auto"/>
      </w:pPr>
      <w:r>
        <w:rPr>
          <w:rFonts w:ascii="Times New Roman" w:eastAsia="Times New Roman" w:hAnsi="Times New Roman" w:cs="Times New Roman"/>
          <w:sz w:val="24"/>
          <w:szCs w:val="24"/>
          <w:lang w:val="en-GB" w:eastAsia="en-GB" w:bidi="bn-BD"/>
        </w:rPr>
        <w:t xml:space="preserve">The choice of features and empirical interpretations are organised around three complementary theoretical frameworks.</w:t>
      </w:r>
    </w:p>
    <w:p>
      <w:pPr>
        <w:pStyle w:val="Heading4"/>
        <w:spacing w:before="160" w:after="40"/>
      </w:pPr>
      <w:r>
        <w:t xml:space="preserve">1.6.1 Theory of Conservation of Resources (COR)</w:t>
      </w:r>
    </w:p>
    <w:p>
      <w:pPr>
        <w:spacing w:after="0" w:line="240" w:lineRule="auto"/>
      </w:pPr>
      <w:r>
        <w:rPr>
          <w:rFonts w:ascii="Times New Roman" w:eastAsia="Times New Roman" w:hAnsi="Times New Roman" w:cs="Times New Roman"/>
          <w:sz w:val="24"/>
          <w:szCs w:val="24"/>
          <w:lang w:val="en-GB" w:eastAsia="en-GB" w:bidi="bn-BD"/>
        </w:rPr>
        <w:t xml:space="preserve">As Hobfoll’s COR theory states [31, 33], psychological distress results from loss of resources, threat of loss, or failure to gain after significant resource investment. In college the key resources are restorative sleep, physical stamina, academic motivation and peer support, the key demands are heavy workloads, high-stakes grading and financial obligations. COR theory posits that a downward spiral in burnout is caused by the ongoing depletion of resources without replenishment [31, 33], which influences our interpretation of recovery measures like sleep quality and physical activity.</w:t>
      </w:r>
    </w:p>
    <w:p>
      <w:pPr>
        <w:pStyle w:val="Heading4"/>
        <w:spacing w:before="160" w:after="40"/>
      </w:pPr>
      <w:r>
        <w:t xml:space="preserve">1.6.2 Job Demands-Resources (JD-R) Model</w:t>
      </w:r>
    </w:p>
    <w:p>
      <w:pPr>
        <w:spacing w:after="0" w:line="240" w:lineRule="auto"/>
      </w:pPr>
      <w:r>
        <w:rPr>
          <w:rFonts w:ascii="Times New Roman" w:eastAsia="Times New Roman" w:hAnsi="Times New Roman" w:cs="Times New Roman"/>
          <w:sz w:val="24"/>
          <w:szCs w:val="24"/>
          <w:lang w:val="en-GB" w:eastAsia="en-GB" w:bidi="bn-BD"/>
        </w:rPr>
        <w:t xml:space="preserve">The JD-R framework is a theoretical model adapted from the field of organisational psychology to educational contexts [32, 34]. This framework differentiates between demands (requirements that require sustained mental or emotional effort, such as academic pressure and screen time) and resources (protective factors that support engagement, such as sleep quality and intrinsic motivation). The model emphasises interaction effects: resources, when available, can buffer the deleterious impact of high demands [34, 35]. We use SHAP dependence plots and non-linear tree-based models in our pipeline to evaluate these interaction dynamics.</w:t>
      </w:r>
    </w:p>
    <w:p>
      <w:pPr>
        <w:pStyle w:val="Heading4"/>
        <w:spacing w:before="160" w:after="40"/>
      </w:pPr>
      <w:r>
        <w:t xml:space="preserve">1.6.3 Self-Determination Theory (SDT)</w:t>
      </w:r>
    </w:p>
    <w:p>
      <w:pPr>
        <w:spacing w:after="0" w:line="240" w:lineRule="auto"/>
      </w:pPr>
      <w:r>
        <w:rPr>
          <w:rFonts w:ascii="Times New Roman" w:eastAsia="Times New Roman" w:hAnsi="Times New Roman" w:cs="Times New Roman"/>
          <w:sz w:val="24"/>
          <w:szCs w:val="24"/>
          <w:lang w:val="en-GB" w:eastAsia="en-GB" w:bidi="bn-BD"/>
        </w:rPr>
        <w:t xml:space="preserve">SDT [36, 109] of Deci and Ryan suggests that intrinsic motivation is determined by the satisfaction of three basic psychological needs: autonomy, competence and relatedness. When these needs are thwarted – when students feel trapped by inflexible curricula, doubt themselves due to poor grades, or lack supportive institutional networks – amotivation and exhaustion often follow [36]. SDT provides a lens into qualitative stories of despair about career and institutional disengagement. Theoretical Synthesis: These frameworks concur on the common premise that student burnout does not result from a single factor, but rather is the product of an imbalance of demands and resources (JD-R), cumulative depletion of restorative resources (COR), and unfulfilled psychological needs (SDT). The multivariate empirical patterns across these domains are explained by computational modelling, their relative influence is uncovered by XAI, and their contextual grounding is provided by qualitative narratives.</w:t>
      </w:r>
    </w:p>
    <w:p>
      <w:pPr>
        <w:pStyle w:val="Heading3"/>
        <w:spacing w:after="60"/>
      </w:pPr>
      <w:r>
        <w:rPr>
          <w:color w:val="047857"/>
        </w:rPr>
        <w:t xml:space="preserve">1.7 Aims of the Research</w:t>
      </w:r>
    </w:p>
    <w:p>
      <w:pPr>
        <w:spacing w:after="0" w:line="240" w:lineRule="auto"/>
      </w:pPr>
      <w:r>
        <w:rPr>
          <w:rFonts w:ascii="Times New Roman" w:eastAsia="Times New Roman" w:hAnsi="Times New Roman" w:cs="Times New Roman"/>
          <w:sz w:val="24"/>
          <w:szCs w:val="24"/>
          <w:lang w:val="en-GB" w:eastAsia="en-GB" w:bidi="bn-BD"/>
        </w:rPr>
        <w:t xml:space="preserve">The study has four principal objectives: 1. Train and evaluate ten supervised classification algorithms and a Soft Voting Ensemble for binary burnout prediction on a primary survey dataset (N=601) under 10-fold stratified cross-validation. 2. Explain the decision mechanics and global feature importance hierarchy of the best performing model using SHAP (SHapley Additive exPlanations). 3. Conduct reflexive thematic analysis of semi-structured interviews with 20 university students to describe lived experiences of academic exhaustion. 4. Use a structured convergence protocol to triangulate quantitative and qualitative findings to construct actionable meta-inferences for campus mental health systems.</w:t>
      </w:r>
    </w:p>
    <w:p>
      <w:pPr>
        <w:pStyle w:val="Heading3"/>
        <w:spacing w:after="60"/>
      </w:pPr>
      <w:r>
        <w:rPr>
          <w:color w:val="047857"/>
        </w:rPr>
        <w:t xml:space="preserve">1.8 Importance of the Study</w:t>
      </w:r>
    </w:p>
    <w:p>
      <w:pPr>
        <w:spacing w:after="0" w:line="240" w:lineRule="auto"/>
      </w:pPr>
      <w:r>
        <w:rPr>
          <w:rFonts w:ascii="Times New Roman" w:eastAsia="Times New Roman" w:hAnsi="Times New Roman" w:cs="Times New Roman"/>
          <w:sz w:val="24"/>
          <w:szCs w:val="24"/>
          <w:lang w:val="en-GB" w:eastAsia="en-GB" w:bidi="bn-BD"/>
        </w:rPr>
        <w:t xml:space="preserve">This work contributes to educational data mining and student mental health research in three major ways: Methodologically, it shows an end-to-end integration of supervised learning, XAI interpretability and qualitative thematic analysis in an explanatory sequential mixed-methods framework, overcoming the interpretability and contextual gaps of traditional ML studies [20, 21]. In principle, it tests propositions from COR, JD-R and SDT models against both statistical attributions and lived student accounts. Practically, the identification of primary risk factors and the calibration of screening thresholds provide evidence-based insight for university administrators involved in the design of early-warning dashboards and the allocation of student support resources in South Asian higher education [28].</w:t>
      </w:r>
    </w:p>
    <w:p>
      <w:pPr>
        <w:pStyle w:val="Heading3"/>
        <w:spacing w:after="60"/>
      </w:pPr>
      <w:r>
        <w:rPr>
          <w:color w:val="047857"/>
        </w:rPr>
        <w:t xml:space="preserve">1.9 Scope and Limitations</w:t>
      </w:r>
    </w:p>
    <w:p>
      <w:pPr>
        <w:spacing w:after="0" w:line="240" w:lineRule="auto"/>
      </w:pPr>
      <w:r>
        <w:rPr>
          <w:rFonts w:ascii="Times New Roman" w:eastAsia="Times New Roman" w:hAnsi="Times New Roman" w:cs="Times New Roman"/>
          <w:sz w:val="24"/>
          <w:szCs w:val="24"/>
          <w:lang w:val="en-GB" w:eastAsia="en-GB" w:bidi="bn-BD"/>
        </w:rPr>
        <w:t xml:space="preserve">The quantitative survey comprises N = 601 undergraduate and postgraduate students of different Bangladeshi universities, collected through Google Forms. The qualitative strand includes N = 20 students sampled purposefully across levels of burnout, institution type and year of study. Although the findings are context-specific to higher education in Bangladesh, the integrated methodological framework is designed to be transferable to wider international higher education contexts.</w:t>
      </w:r>
    </w:p>
    <w:p>
      <w:pPr>
        <w:pStyle w:val="Heading3"/>
        <w:spacing w:after="60"/>
      </w:pPr>
      <w:r>
        <w:rPr>
          <w:color w:val="047857"/>
        </w:rPr>
        <w:t xml:space="preserve">1.10 Definitions of Key Terms</w:t>
      </w:r>
    </w:p>
    <w:p>
      <w:pPr>
        <w:spacing w:after="0" w:line="240" w:lineRule="auto"/>
      </w:pPr>
      <w:r>
        <w:rPr>
          <w:rFonts w:ascii="Times New Roman" w:eastAsia="Times New Roman" w:hAnsi="Times New Roman" w:cs="Times New Roman"/>
          <w:sz w:val="24"/>
          <w:szCs w:val="24"/>
          <w:lang w:val="en-GB" w:eastAsia="en-GB" w:bidi="bn-BD"/>
        </w:rPr>
        <w:t xml:space="preserve">• Academic Burnout: The feeling of emotional exhaustion, cynicism to academic commitments and low efficacy from chronic educational demands [6]. • Explainable AI (XAI): Analytical techniques such as SHAP, feature attribution techniques explaining the predictive logic of complex machine learning algorithms [24]. • Explanatory Sequential Mixed-Methods: A research design where quantitative data collection and analysis (QUAN) precedes and informs qualitative investigation (QUAL) to explain empirical findings [26]. • SHAP (SHapley Additive exPlanations): A game theoretic approach that calculates the marginal contribution of each feature to individual and global model predictions [23]. • Triangulation: Systematic integration of quantitative statistical patterns and qualitative narratives to assess convergence, complementarity and divergence [26, 37].</w:t>
      </w:r>
    </w:p>
    <w:p>
      <w:pPr>
        <w:pStyle w:val="Heading3"/>
        <w:spacing w:after="60"/>
      </w:pPr>
      <w:r>
        <w:rPr>
          <w:color w:val="047857"/>
        </w:rPr>
        <w:t xml:space="preserve">1.11 Paper structure</w:t>
      </w:r>
    </w:p>
    <w:p>
      <w:pPr>
        <w:spacing w:after="0" w:line="240" w:lineRule="auto"/>
      </w:pPr>
      <w:r>
        <w:rPr>
          <w:rFonts w:ascii="Times New Roman" w:eastAsia="Times New Roman" w:hAnsi="Times New Roman" w:cs="Times New Roman"/>
          <w:sz w:val="24"/>
          <w:szCs w:val="24"/>
          <w:lang w:val="en-GB" w:eastAsia="en-GB" w:bidi="bn-BD"/>
        </w:rPr>
        <w:t xml:space="preserve">The remainder of this paper is organised as follows. Section 2 discusses related work on student burnout, machine learning in education and explainability methods. Section 3 covers the materials and methods, including data collection, pre-processing, feature engineering, model training, XAI procedures, qualitative coding, and ethical safeguards. Section 4 gives the exploratory data analysis. Section 5 deals with the inferential statistics tests and multicollinearity. 6. Cross-validated ML benchmarks, error analysis of the confusion matrix and calibration of decision thresholds. The SHAP explainability results are shown in Section 7. Section 8 presents qualitative thematic results. Mixed-methods triangulation and discussion are provided in Section 9. Section 10 concludes with policy recommendations and limitations of the study.</w:t>
      </w:r>
    </w:p>
    <w:p w:rsidR="00A43BB6" w:rsidRDefault="0044650C">
      <w:pPr>
        <w:pStyle w:val="Heading2"/>
        <w:spacing w:before="240" w:after="80"/>
      </w:pPr>
      <w:r>
        <w:rPr>
          <w:color w:val="1E3A8A"/>
        </w:rPr>
        <w:t>2. Literature Review</w:t>
      </w:r>
    </w:p>
    <w:p>
      <w:pPr>
        <w:spacing w:after="0" w:line="240" w:lineRule="auto"/>
      </w:pPr>
      <w:r>
        <w:rPr>
          <w:rFonts w:ascii="Times New Roman" w:eastAsia="Times New Roman" w:hAnsi="Times New Roman" w:cs="Times New Roman"/>
          <w:sz w:val="24"/>
          <w:szCs w:val="24"/>
          <w:lang w:val="en-GB" w:eastAsia="en-GB" w:bidi="bn-BD"/>
        </w:rPr>
        <w:t xml:space="preserve">This section reviews the empirical literature on student burnout, behavioural and psychological risk factors, machine learning applications in educational data mining, explainable AI, and mixed methods research designs. The review highlights significant contributions and methodological shortcomings of previous studies and thus constitutes the empirical basis of the present study .</w:t>
      </w:r>
    </w:p>
    <w:p>
      <w:pPr>
        <w:pStyle w:val="Heading3"/>
        <w:spacing w:after="60"/>
      </w:pPr>
      <w:r>
        <w:rPr>
          <w:color w:val="047857"/>
        </w:rPr>
        <w:t xml:space="preserve">2.1 Concept and Operationalisation of Academic Burnout</w:t>
      </w:r>
    </w:p>
    <w:p>
      <w:pPr>
        <w:spacing w:after="0" w:line="240" w:lineRule="auto"/>
      </w:pPr>
      <w:r>
        <w:rPr>
          <w:rFonts w:ascii="Times New Roman" w:eastAsia="Times New Roman" w:hAnsi="Times New Roman" w:cs="Times New Roman"/>
          <w:sz w:val="24"/>
          <w:szCs w:val="24"/>
          <w:lang w:val="en-GB" w:eastAsia="en-GB" w:bidi="bn-BD"/>
        </w:rPr>
        <w:t xml:space="preserve">Burnout is an occupational health construct first described in the clinical setting by Freudenberger [38], and later formally operationalised by Maslach and Jackson [39] as a three-dimensional syndrome of emotional exhaustion, depersonalisation (cynicism) and reduced personal accomplishment. The Maslach Burnout Inventory (MBI) remains the most commonly used measure in the work and organisational research literature [5, 37]. Given the evaluative pressure, competitive deadlines and cognitive demands that university students are exposed to, Schaufeli et al. [6] adapted the framework to be applicable to the higher education context through the Maslach Burnout Inventory-Student Survey (MBI-SS). The MBI-SS redefines the three critical dimensions of an academic environment: exhaustion (overwhelmed by the demands of study), cynicism (disaffected and disillusioned regarding the coursework), and reduced efficacy (diminishing confidence in one’s ability as a student) [6, 14]. This three-factor structure has been replicated in later psychometric studies using European [3, 39], North American [39, 40] and Asian [41] samples. Recent scholarship, however, conceptualises burnout more as a continuous behavioural and physiological process embedded in students’ daily routines such as sleep quality, physical activity, digital consumption, and social interactions [1, 42–44]. Behavioural features can be early objective markers for risk rather than burnout as an end state psychological score. Burnout has also been identified by researchers as a progressive continuum [32, 45] that supports the use of multi-tiered risk stratification (Low, Medium, High) for clinical and preventive screening [45, 46].</w:t>
      </w:r>
    </w:p>
    <w:p>
      <w:pPr>
        <w:pStyle w:val="Heading3"/>
        <w:spacing w:after="60"/>
      </w:pPr>
      <w:r>
        <w:rPr>
          <w:color w:val="047857"/>
        </w:rPr>
        <w:t xml:space="preserve">2.2 Incidence and Consequences in Higher Education</w:t>
      </w:r>
    </w:p>
    <w:p>
      <w:pPr>
        <w:spacing w:after="0" w:line="240" w:lineRule="auto"/>
      </w:pPr>
      <w:r>
        <w:rPr>
          <w:rFonts w:ascii="Times New Roman" w:eastAsia="Times New Roman" w:hAnsi="Times New Roman" w:cs="Times New Roman"/>
          <w:sz w:val="24"/>
          <w:szCs w:val="24"/>
          <w:lang w:val="en-GB" w:eastAsia="en-GB" w:bidi="bn-BD"/>
        </w:rPr>
        <w:t xml:space="preserve">Burnout is a common problem for university students according to worldwide epidemiological surveys. In a systematic review of 15 countries, Frajerman et al. [7] estimated the prevalence of significant burnout symptoms in university students to be between 28% and 55%, higher in competitive STEM and medical studies [47, 48]. Meta-analytic data from Erschens et al. [8] shows that around 44% of medical students worldwide suffer from emotional exhaustion. In the post-pandemic period, many reviews reported high rates of burnout worldwide, for example 61% in Saudi Arabia [9], Turkey [51], India [19], Brazil [52, 53, 57] and Bangladesh [112]. There are particular structural barriers facing university students in South Asia. Hossain and Rahman [13] found that 47% of undergraduates surveyed from six universities in Dhaka experienced moderate-to-severe burnout. Private institutions had high rates, where the demands of coursework are compounded by academic fees and employment pressures [54]. Systemic vulnerability was identified in multi-institutional reviews by Ali et al. [107] and Hossen et al. [111]. It was found that Bangladeshi students experienced pervasive anxiety and depressive affect [14, 55], which was caused by a lack of adequate mental health infrastructure on campus. Untreated burnout of students in higher education has well-documented effects. Longitudinal studies have shown that chronic burnout may predict academic underachievement [31], increased dropout intentions [56, 60], substance misuse [48, 52], depressive episodes and suicidal ideation [49, 53]. In developing countries, where tuition fees represent an important investment for families [11], academic attrition has important socio-economic implications for students and the community.</w:t>
      </w:r>
    </w:p>
    <w:p>
      <w:pPr>
        <w:pStyle w:val="Heading3"/>
        <w:spacing w:after="60"/>
      </w:pPr>
      <w:r>
        <w:rPr>
          <w:color w:val="047857"/>
        </w:rPr>
        <w:t xml:space="preserve">2.3 Predictors and Correlates of Student Burn-Out</w:t>
      </w:r>
    </w:p>
    <w:p>
      <w:pPr>
        <w:spacing w:after="0" w:line="240" w:lineRule="auto"/>
      </w:pPr>
      <w:r>
        <w:rPr>
          <w:rFonts w:ascii="Times New Roman" w:eastAsia="Times New Roman" w:hAnsi="Times New Roman" w:cs="Times New Roman"/>
          <w:sz w:val="24"/>
          <w:szCs w:val="24"/>
          <w:lang w:val="en-GB" w:eastAsia="en-GB" w:bidi="bn-BD"/>
        </w:rPr>
        <w:t xml:space="preserve">The literature to date indicates contributing factors in four broad areas of analysis:</w:t>
      </w:r>
    </w:p>
    <w:p>
      <w:pPr>
        <w:pStyle w:val="Heading4"/>
        <w:spacing w:before="160" w:after="40"/>
      </w:pPr>
      <w:r>
        <w:t xml:space="preserve">2.3.1 Requirements for academic knowledge</w:t>
      </w:r>
    </w:p>
    <w:p>
      <w:pPr>
        <w:spacing w:after="0" w:line="240" w:lineRule="auto"/>
      </w:pPr>
      <w:r>
        <w:rPr>
          <w:rFonts w:ascii="Times New Roman" w:eastAsia="Times New Roman" w:hAnsi="Times New Roman" w:cs="Times New Roman"/>
          <w:sz w:val="24"/>
          <w:szCs w:val="24"/>
          <w:lang w:val="en-GB" w:eastAsia="en-GB" w:bidi="bn-BD"/>
        </w:rPr>
        <w:t xml:space="preserve">“Academic strain is consistently associated with frequent examinations, rigid grading curves, and volume of course work” [ 1 ]. Salmela-Aro and Upadyaya [32] found that increased study demands predicted burnout trajectories in a longitudinal study, even when controlling for baseline psychological health. Subjective evaluation of workload manageability was a stronger predictor than the raw hours invested [61], indicating that cognitive appraisal acts as a mediator in the relationship between demands and exhaustion [4].</w:t>
      </w:r>
    </w:p>
    <w:p>
      <w:pPr>
        <w:pStyle w:val="Heading4"/>
        <w:spacing w:before="160" w:after="40"/>
      </w:pPr>
      <w:r>
        <w:t xml:space="preserve">2.3.2 Psychosocial factors</w:t>
      </w:r>
    </w:p>
    <w:p>
      <w:pPr>
        <w:spacing w:after="0" w:line="240" w:lineRule="auto"/>
      </w:pPr>
      <w:r>
        <w:rPr>
          <w:rFonts w:ascii="Times New Roman" w:eastAsia="Times New Roman" w:hAnsi="Times New Roman" w:cs="Times New Roman"/>
          <w:sz w:val="24"/>
          <w:szCs w:val="24"/>
          <w:lang w:val="en-GB" w:eastAsia="en-GB" w:bidi="bn-BD"/>
        </w:rPr>
        <w:t xml:space="preserve">Academic burnout is often associated with stress, anxiety and depression [42, 43]. Meta-analytic results of Bianchi et al. [49] demonstrated considerable overlap of burnout with depressive symptoms (pooled r =.52). In addition, systematic vulnerability appears in individuals with high levels of trait anxiety [44], neuroticism [46, 50] and academic helplessness [47]. Financial problems have also been cited as a major stressor. Richardson et al. [58] found that students experiencing financial strain were 1.8 times more likely to report severe burnout and Walsemann et al. [59] reported accumulated education debt as a direct contributor to psychological strain.</w:t>
      </w:r>
    </w:p>
    <w:p>
      <w:pPr>
        <w:pStyle w:val="Heading4"/>
        <w:spacing w:before="160" w:after="40"/>
      </w:pPr>
      <w:r>
        <w:t xml:space="preserve">2.3.3 Lifestyle and behavioural factors</w:t>
      </w:r>
    </w:p>
    <w:p>
      <w:pPr>
        <w:spacing w:after="0" w:line="240" w:lineRule="auto"/>
      </w:pPr>
      <w:r>
        <w:rPr>
          <w:rFonts w:ascii="Times New Roman" w:eastAsia="Times New Roman" w:hAnsi="Times New Roman" w:cs="Times New Roman"/>
          <w:sz w:val="24"/>
          <w:szCs w:val="24"/>
          <w:lang w:val="en-GB" w:eastAsia="en-GB" w:bidi="bn-BD"/>
        </w:rPr>
        <w:t xml:space="preserve">Of the behavioural determinants of student wellbeing, sleep patterns are among the most important. Short sleep duration (&lt; 6 hours each nite) and poor sleep quality are linked to significant increases in risk of burnout [63, 64, 78]. Disruption of the sleep architecture is strongly associated with daytime cognitive functioning and emotional regulation [65, 66]. Conversely, regular physical activity is a possible protective factor, reducing the symptoms of burnout by approximately 0.4 standard deviations in meta-analyses [62]. Increased recreational screen time, particularly unstructured social media scrolling, has been associated with increased levels of burnout due to the displacement of study time and poor sleep quality [60, 67, 68, 69, 70]. Fang et al. [110] and Ng et al. [115] indicated that students who spent more than 4 h per day on social media had statistically higher levels of exhaustion and cynicism. This is especially true for South Asia, where smartphone usage is nearly universal among university students [12].</w:t>
      </w:r>
    </w:p>
    <w:p>
      <w:pPr>
        <w:pStyle w:val="Heading4"/>
        <w:spacing w:before="160" w:after="40"/>
      </w:pPr>
      <w:r>
        <w:t xml:space="preserve">2.3.4 Socio-Demographic and Structural Factors</w:t>
      </w:r>
    </w:p>
    <w:p>
      <w:pPr>
        <w:spacing w:after="0" w:line="240" w:lineRule="auto"/>
      </w:pPr>
      <w:r>
        <w:rPr>
          <w:rFonts w:ascii="Times New Roman" w:eastAsia="Times New Roman" w:hAnsi="Times New Roman" w:cs="Times New Roman"/>
          <w:sz w:val="24"/>
          <w:szCs w:val="24"/>
          <w:lang w:val="en-GB" w:eastAsia="en-GB" w:bidi="bn-BD"/>
        </w:rPr>
        <w:t xml:space="preserve">In the literature there are inconsistent patterns of sociodemographic correlates. In a meta-analysis, Purvanova and Muros [116] found female students to report slightly higher levels of emotional exhaustion and male students to report higher levels of cynicism. The impact of the academic year varies across curricula, with peaks in transition periods, such as second year or clinical rotations [3, 8]. Contextual moderators are important institutional factors like faculty availability, class size, and mental health services [10]. Social and family support is always a buffer against burnout [71] . Regularity of attendance and GPA are proximal levels of engagement [18, 19].</w:t>
      </w:r>
    </w:p>
    <w:p>
      <w:pPr>
        <w:pStyle w:val="Heading3"/>
        <w:spacing w:after="60"/>
      </w:pPr>
      <w:r>
        <w:rPr>
          <w:color w:val="047857"/>
        </w:rPr>
        <w:t xml:space="preserve">2.4 Machine Learning Applications to Mental Health in Education</w:t>
      </w:r>
    </w:p>
    <w:p>
      <w:pPr>
        <w:spacing w:after="0" w:line="240" w:lineRule="auto"/>
      </w:pPr>
      <w:r>
        <w:rPr>
          <w:rFonts w:ascii="Times New Roman" w:eastAsia="Times New Roman" w:hAnsi="Times New Roman" w:cs="Times New Roman"/>
          <w:sz w:val="24"/>
          <w:szCs w:val="24"/>
          <w:lang w:val="en-GB" w:eastAsia="en-GB" w:bidi="bn-BD"/>
        </w:rPr>
        <w:t xml:space="preserve">Supervised machine learning has been widely used in educational data mining, mainly because of the availability of large institutional datasets and the development of ensemble methods [72, 73].</w:t>
      </w:r>
    </w:p>
    <w:p>
      <w:pPr>
        <w:pStyle w:val="Heading4"/>
        <w:spacing w:before="160" w:after="40"/>
      </w:pPr>
      <w:r>
        <w:t xml:space="preserve">2.4.1 Academic Achievement Classification</w:t>
      </w:r>
    </w:p>
    <w:p>
      <w:pPr>
        <w:spacing w:after="0" w:line="240" w:lineRule="auto"/>
      </w:pPr>
      <w:r>
        <w:rPr>
          <w:rFonts w:ascii="Times New Roman" w:eastAsia="Times New Roman" w:hAnsi="Times New Roman" w:cs="Times New Roman"/>
          <w:sz w:val="24"/>
          <w:szCs w:val="24"/>
          <w:lang w:val="en-GB" w:eastAsia="en-GB" w:bidi="bn-BD"/>
        </w:rPr>
        <w:t xml:space="preserve">Iatrellis et al. [19] compared logistic regression, random forests and gradient boosting for the prediction of student dropout in higher education. The authors reported that gradient boosting achieved AUC 0.89 on a cohort of 15,000 students . Shahiri et al. [75] reviewed 30 studies on prescriptive modelling and concluded that ensemble algorithms generally outperformed a single tree classifier. In a recent study, Alhazmi and Sheneamer [76] evaluated their performance for early identification of students at risk using gradient-boosted trees.</w:t>
      </w:r>
    </w:p>
    <w:p>
      <w:pPr>
        <w:pStyle w:val="Heading4"/>
        <w:spacing w:before="160" w:after="40"/>
      </w:pPr>
      <w:r>
        <w:t xml:space="preserve">2.4.2 Machine learning for detection of mental health and burnout</w:t>
      </w:r>
    </w:p>
    <w:p>
      <w:pPr>
        <w:spacing w:after="0" w:line="240" w:lineRule="auto"/>
      </w:pPr>
      <w:r>
        <w:rPr>
          <w:rFonts w:ascii="Times New Roman" w:eastAsia="Times New Roman" w:hAnsi="Times New Roman" w:cs="Times New Roman"/>
          <w:sz w:val="24"/>
          <w:szCs w:val="24"/>
          <w:lang w:val="en-GB" w:eastAsia="en-GB" w:bidi="bn-BD"/>
        </w:rPr>
        <w:t xml:space="preserve">It is under active development for direct applications in classifying student burnout. The data has been surveyed via Support Vector Machines, Random Forests and Gradient Boosting and it has been shown that behavioural inputs can be used to predict burnout categories [67, 68]. Adding lifestyle features, such as sleep duration, exercise, digital habits and psychometric scores, consistently improves the prediction performance [77, 79].</w:t>
      </w:r>
    </w:p>
    <w:p>
      <w:pPr>
        <w:pStyle w:val="Heading4"/>
        <w:spacing w:before="160" w:after="40"/>
      </w:pPr>
      <w:r>
        <w:t xml:space="preserve">2.4.3 Limitations of Existing ML Approaches</w:t>
      </w:r>
    </w:p>
    <w:p>
      <w:pPr>
        <w:spacing w:after="0" w:line="240" w:lineRule="auto"/>
      </w:pPr>
      <w:r>
        <w:rPr>
          <w:rFonts w:ascii="Times New Roman" w:eastAsia="Times New Roman" w:hAnsi="Times New Roman" w:cs="Times New Roman"/>
          <w:sz w:val="24"/>
          <w:szCs w:val="24"/>
          <w:lang w:val="en-GB" w:eastAsia="en-GB" w:bidi="bn-BD"/>
        </w:rPr>
        <w:t xml:space="preserve">Educational ML models currently face three major limitations that hinder their translational impact: 1. Single source cross validation: Most models are evaluated only by internal cross validation and do not evaluate sub-population generalisability [20]. 2. Small Sample Limitations: Much research depends on small convenience cohorts and ignores the sample size requirements of complex boosting architectures [80]. 3. Single-metric evaluation: Models often report raw accuracy and ignore class-specific recalls, precision-recall trade-offs, and the decision-threshold calibration required for deployment in an institution [81].</w:t>
      </w:r>
    </w:p>
    <w:p>
      <w:pPr>
        <w:pStyle w:val="Heading3"/>
        <w:spacing w:after="60"/>
      </w:pPr>
      <w:r>
        <w:rPr>
          <w:color w:val="047857"/>
        </w:rPr>
        <w:t xml:space="preserve">2.5 Explainable AI (XAI) for Predictive Modelling</w:t>
      </w:r>
    </w:p>
    <w:p>
      <w:pPr>
        <w:spacing w:after="0" w:line="240" w:lineRule="auto"/>
      </w:pPr>
      <w:r>
        <w:rPr>
          <w:rFonts w:ascii="Times New Roman" w:eastAsia="Times New Roman" w:hAnsi="Times New Roman" w:cs="Times New Roman"/>
          <w:sz w:val="24"/>
          <w:szCs w:val="24"/>
          <w:lang w:val="en-GB" w:eastAsia="en-GB" w:bidi="bn-BD"/>
        </w:rPr>
        <w:t xml:space="preserve">The need to understand algorithmic decision-making in high-stakes educational and psychological settings [23, 25] has led to an increased adoption of explainable AI (XAI) techniques.</w:t>
      </w:r>
    </w:p>
    <w:p>
      <w:pPr>
        <w:pStyle w:val="Heading4"/>
        <w:spacing w:before="160" w:after="40"/>
      </w:pPr>
      <w:r>
        <w:t xml:space="preserve">2.5.1 SHAP (SHapley Additive exPlanations)</w:t>
      </w:r>
    </w:p>
    <w:p>
      <w:pPr>
        <w:spacing w:after="0" w:line="240" w:lineRule="auto"/>
      </w:pPr>
      <w:r>
        <w:rPr>
          <w:rFonts w:ascii="Times New Roman" w:eastAsia="Times New Roman" w:hAnsi="Times New Roman" w:cs="Times New Roman"/>
          <w:sz w:val="24"/>
          <w:szCs w:val="24"/>
          <w:lang w:val="en-GB" w:eastAsia="en-GB" w:bidi="bn-BD"/>
        </w:rPr>
        <w:t xml:space="preserve">SHAP is a game theoretic method proposed by Lundberg and Lee [24, 83], which computes the exact marginal contribution of each input feature to individual and global predictions. Heuristic feature rankings [24] do not satisfy three simple axiomatic properties, local accuracy, missingness and consistency, which are satisfied by SHAP values. SHAP has been applied in educational contexts to decompose predictors of academic performance and stress providing a transparent attribution to early-warning systems of institutions [82].</w:t>
      </w:r>
    </w:p>
    <w:p>
      <w:pPr>
        <w:pStyle w:val="Heading4"/>
        <w:spacing w:before="160" w:after="40"/>
      </w:pPr>
      <w:r>
        <w:t xml:space="preserve">2.5.2 Comparison to feature importance methods</w:t>
      </w:r>
    </w:p>
    <w:p>
      <w:pPr>
        <w:spacing w:after="0" w:line="240" w:lineRule="auto"/>
      </w:pPr>
      <w:r>
        <w:rPr>
          <w:rFonts w:ascii="Times New Roman" w:eastAsia="Times New Roman" w:hAnsi="Times New Roman" w:cs="Times New Roman"/>
          <w:sz w:val="24"/>
          <w:szCs w:val="24"/>
          <w:lang w:val="en-GB" w:eastAsia="en-GB" w:bidi="bn-BD"/>
        </w:rPr>
        <w:t xml:space="preserve">Standard tree ensembles compute Gini impurity based importances [84,85] which can be biased toward features with a large number of levels [86]. Permutation importance measures the drop in performance when shuffling the feature, but correlated variables can lead to extrapolation artefacts [87, 88]. Partial dependence plots (PDP) and individual conditional expectation (ICE) plots visualise marginal effects [74, 89]. SHAP provides local instance-level attributions and global feature rankings [23, 90].</w:t>
      </w:r>
    </w:p>
    <w:p>
      <w:pPr>
        <w:pStyle w:val="Heading3"/>
        <w:spacing w:after="60"/>
      </w:pPr>
      <w:r>
        <w:rPr>
          <w:color w:val="047857"/>
        </w:rPr>
        <w:t xml:space="preserve">2.6 Mixed Methods Approach to Burnout</w:t>
      </w:r>
    </w:p>
    <w:p>
      <w:pPr>
        <w:spacing w:after="0" w:line="240" w:lineRule="auto"/>
      </w:pPr>
      <w:r>
        <w:rPr>
          <w:rFonts w:ascii="Times New Roman" w:eastAsia="Times New Roman" w:hAnsi="Times New Roman" w:cs="Times New Roman"/>
          <w:sz w:val="24"/>
          <w:szCs w:val="24"/>
          <w:lang w:val="en-GB" w:eastAsia="en-GB" w:bidi="bn-BD"/>
        </w:rPr>
        <w:t xml:space="preserve">Mixed-methods designs combine the statistical power of quantitative research with the depth of qualitative research, allowing for meta-inferences not possible with either method alone [26, 28]. Mixed methods research in educational psychology enables investigators to integrate quantitative predictive screening with narrative explanations of students’ lived experience [27, 37]. This study adopted an explanatory sequential mixed-method design (QUAN → QUAL) as described by Creswell and Plano Clark [26]. In this architecture, the QUAN survey modelling and ML classification are first applied to develop empirical risk predictors and feature rankings. The quantitative findings then guide purposive sampling for in-depth qualitative interviews (QUAL) to contextualise and explain the algorithmic patterns. The use of machine learning together with qualitative inquiry within a mixed-methods study is still very uncommon in the student burnout literature [14, 45, 60]. This gap represents a major methodological motivation for our investigation.</w:t>
      </w:r>
    </w:p>
    <w:p>
      <w:pPr>
        <w:pStyle w:val="Heading3"/>
        <w:spacing w:after="60"/>
      </w:pPr>
      <w:r>
        <w:rPr>
          <w:color w:val="047857"/>
        </w:rPr>
        <w:t xml:space="preserve">2.7 Closing Research Gaps</w:t>
      </w:r>
    </w:p>
    <w:p>
      <w:pPr>
        <w:spacing w:after="0" w:line="240" w:lineRule="auto"/>
      </w:pPr>
      <w:r>
        <w:rPr>
          <w:rFonts w:ascii="Times New Roman" w:eastAsia="Times New Roman" w:hAnsi="Times New Roman" w:cs="Times New Roman"/>
          <w:sz w:val="24"/>
          <w:szCs w:val="24"/>
          <w:lang w:val="en-GB" w:eastAsia="en-GB" w:bidi="bn-BD"/>
        </w:rPr>
        <w:t xml:space="preserve">The study is motivated by five major gaps in the literature as follows: • Gap 1 (Validation Rigour): Over-reliance on single train-test splits with no systematic 10-fold cross-validation or robustness test on sub-groups [20, 91]. • Gap 2 (Interpretability Deficit): The absence of game-theoretic XAI (SHAP) explanations for the common use of black-box algorithms [23, 25]. • Gap 3 (Contextual Focus): no empirical ML research in the setting of South Asian higher education [10, 80]. • Gap 4 (Methodological Separation): Low integration of mixed methods and parallel development of quantitative ML modelling and qualitative inquiry [26]. • Gap 5 (Theoretically grounded feature engineering): Sparse operationalisation of well established psychological frameworks (JD-R and COR) into composite predictive features [31, 34]. Table 1 summarises the present study in comparison with important prior studies on these methodological dimensions:</w:t>
      </w:r>
    </w:p>
    <w:p w:rsidR="00A43BB6" w:rsidRDefault="0044650C">
      <w:pPr>
        <w:pStyle w:val="Heading3"/>
        <w:spacing w:after="60"/>
      </w:pPr>
      <w:r>
        <w:rPr>
          <w:color w:val="047857"/>
        </w:rPr>
        <w:t>Table 1. Structured Methodological Comparison Against Prior Literature</w:t>
      </w:r>
    </w:p>
    <w:tbl>
      <w:tblPr>
        <w:tblW w:w="0" w:type="auto"/>
        <w:jc w:val="center"/>
        <w:tblLook w:val="04A0" w:firstRow="1" w:lastRow="0" w:firstColumn="1" w:lastColumn="0" w:noHBand="0" w:noVBand="1"/>
      </w:tblPr>
      <w:tblGrid>
        <w:gridCol w:w="858"/>
        <w:gridCol w:w="1260"/>
        <w:gridCol w:w="1168"/>
        <w:gridCol w:w="1162"/>
        <w:gridCol w:w="1517"/>
        <w:gridCol w:w="1076"/>
        <w:gridCol w:w="1173"/>
        <w:gridCol w:w="1362"/>
      </w:tblGrid>
      <w:tr w:rsidR="00A43BB6">
        <w:trPr>
          <w:jc w:val="center"/>
        </w:trPr>
        <w:tc>
          <w:tcPr>
            <w:tcW w:w="1170" w:type="dxa"/>
            <w:tcBorders>
              <w:top w:val="single" w:sz="4" w:space="0" w:color="94A3B8"/>
              <w:bottom w:val="single" w:sz="4" w:space="0" w:color="94A3B8"/>
            </w:tcBorders>
            <w:shd w:val="clear" w:color="auto" w:fill="1E3A8A"/>
          </w:tcPr>
          <w:p w:rsidR="00A43BB6" w:rsidRDefault="0044650C">
            <w:r>
              <w:rPr>
                <w:b/>
                <w:color w:val="FFFFFF"/>
              </w:rPr>
              <w:t>Study</w:t>
            </w:r>
          </w:p>
        </w:tc>
        <w:tc>
          <w:tcPr>
            <w:tcW w:w="1170" w:type="dxa"/>
            <w:tcBorders>
              <w:top w:val="single" w:sz="4" w:space="0" w:color="94A3B8"/>
              <w:bottom w:val="single" w:sz="4" w:space="0" w:color="94A3B8"/>
            </w:tcBorders>
            <w:shd w:val="clear" w:color="auto" w:fill="1E3A8A"/>
          </w:tcPr>
          <w:p w:rsidR="00A43BB6" w:rsidRDefault="0044650C">
            <w:r>
              <w:rPr>
                <w:b/>
                <w:color w:val="FFFFFF"/>
              </w:rPr>
              <w:t>Target Focus</w:t>
            </w:r>
          </w:p>
        </w:tc>
        <w:tc>
          <w:tcPr>
            <w:tcW w:w="1170" w:type="dxa"/>
            <w:tcBorders>
              <w:top w:val="single" w:sz="4" w:space="0" w:color="94A3B8"/>
              <w:bottom w:val="single" w:sz="4" w:space="0" w:color="94A3B8"/>
            </w:tcBorders>
            <w:shd w:val="clear" w:color="auto" w:fill="1E3A8A"/>
          </w:tcPr>
          <w:p w:rsidR="00A43BB6" w:rsidRDefault="0044650C">
            <w:r>
              <w:rPr>
                <w:b/>
                <w:color w:val="FFFFFF"/>
              </w:rPr>
              <w:t>Sample ($N$)</w:t>
            </w:r>
          </w:p>
        </w:tc>
        <w:tc>
          <w:tcPr>
            <w:tcW w:w="1170" w:type="dxa"/>
            <w:tcBorders>
              <w:top w:val="single" w:sz="4" w:space="0" w:color="94A3B8"/>
              <w:bottom w:val="single" w:sz="4" w:space="0" w:color="94A3B8"/>
            </w:tcBorders>
            <w:shd w:val="clear" w:color="auto" w:fill="1E3A8A"/>
          </w:tcPr>
          <w:p w:rsidR="00A43BB6" w:rsidRDefault="0044650C">
            <w:r>
              <w:rPr>
                <w:b/>
                <w:color w:val="FFFFFF"/>
              </w:rPr>
              <w:t>Models Evaluated</w:t>
            </w:r>
          </w:p>
        </w:tc>
        <w:tc>
          <w:tcPr>
            <w:tcW w:w="1170" w:type="dxa"/>
            <w:tcBorders>
              <w:top w:val="single" w:sz="4" w:space="0" w:color="94A3B8"/>
              <w:bottom w:val="single" w:sz="4" w:space="0" w:color="94A3B8"/>
            </w:tcBorders>
            <w:shd w:val="clear" w:color="auto" w:fill="1E3A8A"/>
          </w:tcPr>
          <w:p w:rsidR="00A43BB6" w:rsidRDefault="0044650C">
            <w:r>
              <w:rPr>
                <w:b/>
                <w:color w:val="FFFFFF"/>
              </w:rPr>
              <w:t>Interpretability / XAI</w:t>
            </w:r>
          </w:p>
        </w:tc>
        <w:tc>
          <w:tcPr>
            <w:tcW w:w="1170" w:type="dxa"/>
            <w:tcBorders>
              <w:top w:val="single" w:sz="4" w:space="0" w:color="94A3B8"/>
              <w:bottom w:val="single" w:sz="4" w:space="0" w:color="94A3B8"/>
            </w:tcBorders>
            <w:shd w:val="clear" w:color="auto" w:fill="1E3A8A"/>
          </w:tcPr>
          <w:p w:rsidR="00A43BB6" w:rsidRDefault="0044650C">
            <w:r>
              <w:rPr>
                <w:b/>
                <w:color w:val="FFFFFF"/>
              </w:rPr>
              <w:t>Validation Strategy</w:t>
            </w:r>
          </w:p>
        </w:tc>
        <w:tc>
          <w:tcPr>
            <w:tcW w:w="1170" w:type="dxa"/>
            <w:tcBorders>
              <w:top w:val="single" w:sz="4" w:space="0" w:color="94A3B8"/>
              <w:bottom w:val="single" w:sz="4" w:space="0" w:color="94A3B8"/>
            </w:tcBorders>
            <w:shd w:val="clear" w:color="auto" w:fill="1E3A8A"/>
          </w:tcPr>
          <w:p w:rsidR="00A43BB6" w:rsidRDefault="0044650C">
            <w:r>
              <w:rPr>
                <w:b/>
                <w:color w:val="FFFFFF"/>
              </w:rPr>
              <w:t>Qualitative Strand</w:t>
            </w:r>
          </w:p>
        </w:tc>
        <w:tc>
          <w:tcPr>
            <w:tcW w:w="1170" w:type="dxa"/>
            <w:tcBorders>
              <w:top w:val="single" w:sz="4" w:space="0" w:color="94A3B8"/>
              <w:bottom w:val="single" w:sz="4" w:space="0" w:color="94A3B8"/>
            </w:tcBorders>
            <w:shd w:val="clear" w:color="auto" w:fill="1E3A8A"/>
          </w:tcPr>
          <w:p w:rsidR="00A43BB6" w:rsidRDefault="0044650C">
            <w:r>
              <w:rPr>
                <w:b/>
                <w:color w:val="FFFFFF"/>
              </w:rPr>
              <w:t>Triangulation Protocol</w:t>
            </w:r>
          </w:p>
        </w:tc>
      </w:tr>
      <w:tr w:rsidR="00A43BB6">
        <w:trPr>
          <w:jc w:val="center"/>
        </w:trPr>
        <w:tc>
          <w:tcPr>
            <w:tcW w:w="1170" w:type="dxa"/>
            <w:tcBorders>
              <w:top w:val="single" w:sz="4" w:space="0" w:color="94A3B8"/>
              <w:bottom w:val="single" w:sz="4" w:space="0" w:color="94A3B8"/>
            </w:tcBorders>
          </w:tcPr>
          <w:p w:rsidR="00A43BB6" w:rsidRDefault="0044650C">
            <w:r>
              <w:t>Nayan et al. (2022) [123]</w:t>
            </w:r>
          </w:p>
        </w:tc>
        <w:tc>
          <w:tcPr>
            <w:tcW w:w="1170" w:type="dxa"/>
            <w:tcBorders>
              <w:top w:val="single" w:sz="4" w:space="0" w:color="94A3B8"/>
              <w:bottom w:val="single" w:sz="4" w:space="0" w:color="94A3B8"/>
            </w:tcBorders>
          </w:tcPr>
          <w:p w:rsidR="00A43BB6" w:rsidRDefault="0044650C">
            <w:r>
              <w:t>Student Depression &amp; Anxiety</w:t>
            </w:r>
          </w:p>
        </w:tc>
        <w:tc>
          <w:tcPr>
            <w:tcW w:w="1170" w:type="dxa"/>
            <w:tcBorders>
              <w:top w:val="single" w:sz="4" w:space="0" w:color="94A3B8"/>
              <w:bottom w:val="single" w:sz="4" w:space="0" w:color="94A3B8"/>
            </w:tcBorders>
          </w:tcPr>
          <w:p w:rsidR="00A43BB6" w:rsidRDefault="0044650C">
            <w:r>
              <w:t>2,121</w:t>
            </w:r>
          </w:p>
        </w:tc>
        <w:tc>
          <w:tcPr>
            <w:tcW w:w="1170" w:type="dxa"/>
            <w:tcBorders>
              <w:top w:val="single" w:sz="4" w:space="0" w:color="94A3B8"/>
              <w:bottom w:val="single" w:sz="4" w:space="0" w:color="94A3B8"/>
            </w:tcBorders>
          </w:tcPr>
          <w:p w:rsidR="00A43BB6" w:rsidRDefault="0044650C">
            <w:r>
              <w:t>LR, RF, SVM, LDA, KNN, NB</w:t>
            </w:r>
          </w:p>
        </w:tc>
        <w:tc>
          <w:tcPr>
            <w:tcW w:w="1170" w:type="dxa"/>
            <w:tcBorders>
              <w:top w:val="single" w:sz="4" w:space="0" w:color="94A3B8"/>
              <w:bottom w:val="single" w:sz="4" w:space="0" w:color="94A3B8"/>
            </w:tcBorders>
          </w:tcPr>
          <w:p w:rsidR="00A43BB6" w:rsidRDefault="0044650C">
            <w:r>
              <w:t>Built-in feature ranking</w:t>
            </w:r>
          </w:p>
        </w:tc>
        <w:tc>
          <w:tcPr>
            <w:tcW w:w="1170" w:type="dxa"/>
            <w:tcBorders>
              <w:top w:val="single" w:sz="4" w:space="0" w:color="94A3B8"/>
              <w:bottom w:val="single" w:sz="4" w:space="0" w:color="94A3B8"/>
            </w:tcBorders>
          </w:tcPr>
          <w:p w:rsidR="00A43BB6" w:rsidRDefault="0044650C">
            <w:r>
              <w:t>10-Fold CV</w:t>
            </w:r>
          </w:p>
        </w:tc>
        <w:tc>
          <w:tcPr>
            <w:tcW w:w="1170" w:type="dxa"/>
            <w:tcBorders>
              <w:top w:val="single" w:sz="4" w:space="0" w:color="94A3B8"/>
              <w:bottom w:val="single" w:sz="4" w:space="0" w:color="94A3B8"/>
            </w:tcBorders>
          </w:tcPr>
          <w:p w:rsidR="00A43BB6" w:rsidRDefault="0044650C">
            <w:r>
              <w:t>No</w:t>
            </w:r>
          </w:p>
        </w:tc>
        <w:tc>
          <w:tcPr>
            <w:tcW w:w="1170" w:type="dxa"/>
            <w:tcBorders>
              <w:top w:val="single" w:sz="4" w:space="0" w:color="94A3B8"/>
              <w:bottom w:val="single" w:sz="4" w:space="0" w:color="94A3B8"/>
            </w:tcBorders>
          </w:tcPr>
          <w:p w:rsidR="00A43BB6" w:rsidRDefault="0044650C">
            <w:r>
              <w:t>No</w:t>
            </w:r>
          </w:p>
        </w:tc>
      </w:tr>
      <w:tr w:rsidR="00A43BB6">
        <w:trPr>
          <w:jc w:val="center"/>
        </w:trPr>
        <w:tc>
          <w:tcPr>
            <w:tcW w:w="1170" w:type="dxa"/>
            <w:tcBorders>
              <w:top w:val="single" w:sz="4" w:space="0" w:color="94A3B8"/>
              <w:bottom w:val="single" w:sz="4" w:space="0" w:color="94A3B8"/>
            </w:tcBorders>
          </w:tcPr>
          <w:p w:rsidR="00A43BB6" w:rsidRDefault="0044650C">
            <w:r>
              <w:t>Ng et al. (2022) [115]</w:t>
            </w:r>
          </w:p>
        </w:tc>
        <w:tc>
          <w:tcPr>
            <w:tcW w:w="1170" w:type="dxa"/>
            <w:tcBorders>
              <w:top w:val="single" w:sz="4" w:space="0" w:color="94A3B8"/>
              <w:bottom w:val="single" w:sz="4" w:space="0" w:color="94A3B8"/>
            </w:tcBorders>
          </w:tcPr>
          <w:p w:rsidR="00A43BB6" w:rsidRDefault="0044650C">
            <w:r>
              <w:t>College Mental Health &amp; Social Media</w:t>
            </w:r>
          </w:p>
        </w:tc>
        <w:tc>
          <w:tcPr>
            <w:tcW w:w="1170" w:type="dxa"/>
            <w:tcBorders>
              <w:top w:val="single" w:sz="4" w:space="0" w:color="94A3B8"/>
              <w:bottom w:val="single" w:sz="4" w:space="0" w:color="94A3B8"/>
            </w:tcBorders>
          </w:tcPr>
          <w:p w:rsidR="00A43BB6" w:rsidRDefault="0044650C">
            <w:r>
              <w:t>538</w:t>
            </w:r>
          </w:p>
        </w:tc>
        <w:tc>
          <w:tcPr>
            <w:tcW w:w="1170" w:type="dxa"/>
            <w:tcBorders>
              <w:top w:val="single" w:sz="4" w:space="0" w:color="94A3B8"/>
              <w:bottom w:val="single" w:sz="4" w:space="0" w:color="94A3B8"/>
            </w:tcBorders>
          </w:tcPr>
          <w:p w:rsidR="00A43BB6" w:rsidRDefault="0044650C">
            <w:r>
              <w:t>RF, SVM, Logistic Regression</w:t>
            </w:r>
          </w:p>
        </w:tc>
        <w:tc>
          <w:tcPr>
            <w:tcW w:w="1170" w:type="dxa"/>
            <w:tcBorders>
              <w:top w:val="single" w:sz="4" w:space="0" w:color="94A3B8"/>
              <w:bottom w:val="single" w:sz="4" w:space="0" w:color="94A3B8"/>
            </w:tcBorders>
          </w:tcPr>
          <w:p w:rsidR="00A43BB6" w:rsidRDefault="0044650C">
            <w:r>
              <w:t>Feature importance ranking</w:t>
            </w:r>
          </w:p>
        </w:tc>
        <w:tc>
          <w:tcPr>
            <w:tcW w:w="1170" w:type="dxa"/>
            <w:tcBorders>
              <w:top w:val="single" w:sz="4" w:space="0" w:color="94A3B8"/>
              <w:bottom w:val="single" w:sz="4" w:space="0" w:color="94A3B8"/>
            </w:tcBorders>
          </w:tcPr>
          <w:p w:rsidR="00A43BB6" w:rsidRDefault="0044650C">
            <w:r>
              <w:t>10-Fold CV</w:t>
            </w:r>
          </w:p>
        </w:tc>
        <w:tc>
          <w:tcPr>
            <w:tcW w:w="1170" w:type="dxa"/>
            <w:tcBorders>
              <w:top w:val="single" w:sz="4" w:space="0" w:color="94A3B8"/>
              <w:bottom w:val="single" w:sz="4" w:space="0" w:color="94A3B8"/>
            </w:tcBorders>
          </w:tcPr>
          <w:p w:rsidR="00A43BB6" w:rsidRDefault="0044650C">
            <w:r>
              <w:t>No</w:t>
            </w:r>
          </w:p>
        </w:tc>
        <w:tc>
          <w:tcPr>
            <w:tcW w:w="1170" w:type="dxa"/>
            <w:tcBorders>
              <w:top w:val="single" w:sz="4" w:space="0" w:color="94A3B8"/>
              <w:bottom w:val="single" w:sz="4" w:space="0" w:color="94A3B8"/>
            </w:tcBorders>
          </w:tcPr>
          <w:p w:rsidR="00A43BB6" w:rsidRDefault="0044650C">
            <w:r>
              <w:t>No</w:t>
            </w:r>
          </w:p>
        </w:tc>
      </w:tr>
      <w:tr w:rsidR="00A43BB6">
        <w:trPr>
          <w:jc w:val="center"/>
        </w:trPr>
        <w:tc>
          <w:tcPr>
            <w:tcW w:w="1170" w:type="dxa"/>
            <w:tcBorders>
              <w:top w:val="single" w:sz="4" w:space="0" w:color="94A3B8"/>
              <w:bottom w:val="single" w:sz="4" w:space="0" w:color="94A3B8"/>
            </w:tcBorders>
          </w:tcPr>
          <w:p w:rsidR="00A43BB6" w:rsidRDefault="0044650C">
            <w:r>
              <w:t>Iatrellis et al. (2021) [19]</w:t>
            </w:r>
          </w:p>
        </w:tc>
        <w:tc>
          <w:tcPr>
            <w:tcW w:w="1170" w:type="dxa"/>
            <w:tcBorders>
              <w:top w:val="single" w:sz="4" w:space="0" w:color="94A3B8"/>
              <w:bottom w:val="single" w:sz="4" w:space="0" w:color="94A3B8"/>
            </w:tcBorders>
          </w:tcPr>
          <w:p w:rsidR="00A43BB6" w:rsidRDefault="0044650C">
            <w:r>
              <w:t>Academic Performance &amp; Dropout</w:t>
            </w:r>
          </w:p>
        </w:tc>
        <w:tc>
          <w:tcPr>
            <w:tcW w:w="1170" w:type="dxa"/>
            <w:tcBorders>
              <w:top w:val="single" w:sz="4" w:space="0" w:color="94A3B8"/>
              <w:bottom w:val="single" w:sz="4" w:space="0" w:color="94A3B8"/>
            </w:tcBorders>
          </w:tcPr>
          <w:p w:rsidR="00A43BB6" w:rsidRDefault="0044650C">
            <w:r>
              <w:t>Institutional cohort</w:t>
            </w:r>
          </w:p>
        </w:tc>
        <w:tc>
          <w:tcPr>
            <w:tcW w:w="1170" w:type="dxa"/>
            <w:tcBorders>
              <w:top w:val="single" w:sz="4" w:space="0" w:color="94A3B8"/>
              <w:bottom w:val="single" w:sz="4" w:space="0" w:color="94A3B8"/>
            </w:tcBorders>
          </w:tcPr>
          <w:p w:rsidR="00A43BB6" w:rsidRDefault="0044650C">
            <w:r>
              <w:t>K-Means + SVM, DT, ANN, RF, NB</w:t>
            </w:r>
          </w:p>
        </w:tc>
        <w:tc>
          <w:tcPr>
            <w:tcW w:w="1170" w:type="dxa"/>
            <w:tcBorders>
              <w:top w:val="single" w:sz="4" w:space="0" w:color="94A3B8"/>
              <w:bottom w:val="single" w:sz="4" w:space="0" w:color="94A3B8"/>
            </w:tcBorders>
          </w:tcPr>
          <w:p w:rsidR="00A43BB6" w:rsidRDefault="0044650C">
            <w:r>
              <w:t>Model weights / ranking</w:t>
            </w:r>
          </w:p>
        </w:tc>
        <w:tc>
          <w:tcPr>
            <w:tcW w:w="1170" w:type="dxa"/>
            <w:tcBorders>
              <w:top w:val="single" w:sz="4" w:space="0" w:color="94A3B8"/>
              <w:bottom w:val="single" w:sz="4" w:space="0" w:color="94A3B8"/>
            </w:tcBorders>
          </w:tcPr>
          <w:p w:rsidR="00A43BB6" w:rsidRDefault="0044650C">
            <w:r>
              <w:t>Train / Test Split</w:t>
            </w:r>
          </w:p>
        </w:tc>
        <w:tc>
          <w:tcPr>
            <w:tcW w:w="1170" w:type="dxa"/>
            <w:tcBorders>
              <w:top w:val="single" w:sz="4" w:space="0" w:color="94A3B8"/>
              <w:bottom w:val="single" w:sz="4" w:space="0" w:color="94A3B8"/>
            </w:tcBorders>
          </w:tcPr>
          <w:p w:rsidR="00A43BB6" w:rsidRDefault="0044650C">
            <w:r>
              <w:t>No</w:t>
            </w:r>
          </w:p>
        </w:tc>
        <w:tc>
          <w:tcPr>
            <w:tcW w:w="1170" w:type="dxa"/>
            <w:tcBorders>
              <w:top w:val="single" w:sz="4" w:space="0" w:color="94A3B8"/>
              <w:bottom w:val="single" w:sz="4" w:space="0" w:color="94A3B8"/>
            </w:tcBorders>
          </w:tcPr>
          <w:p w:rsidR="00A43BB6" w:rsidRDefault="0044650C">
            <w:r>
              <w:t>No</w:t>
            </w:r>
          </w:p>
        </w:tc>
      </w:tr>
      <w:tr w:rsidR="00A43BB6">
        <w:trPr>
          <w:jc w:val="center"/>
        </w:trPr>
        <w:tc>
          <w:tcPr>
            <w:tcW w:w="1170" w:type="dxa"/>
            <w:tcBorders>
              <w:top w:val="single" w:sz="4" w:space="0" w:color="94A3B8"/>
              <w:bottom w:val="single" w:sz="4" w:space="0" w:color="94A3B8"/>
            </w:tcBorders>
          </w:tcPr>
          <w:p w:rsidR="00A43BB6" w:rsidRDefault="0044650C">
            <w:r>
              <w:t>Islam et al. (2020) [112]</w:t>
            </w:r>
          </w:p>
        </w:tc>
        <w:tc>
          <w:tcPr>
            <w:tcW w:w="1170" w:type="dxa"/>
            <w:tcBorders>
              <w:top w:val="single" w:sz="4" w:space="0" w:color="94A3B8"/>
              <w:bottom w:val="single" w:sz="4" w:space="0" w:color="94A3B8"/>
            </w:tcBorders>
          </w:tcPr>
          <w:p w:rsidR="00A43BB6" w:rsidRDefault="0044650C">
            <w:r>
              <w:t>University Student Depression &amp; Anxiety</w:t>
            </w:r>
          </w:p>
        </w:tc>
        <w:tc>
          <w:tcPr>
            <w:tcW w:w="1170" w:type="dxa"/>
            <w:tcBorders>
              <w:top w:val="single" w:sz="4" w:space="0" w:color="94A3B8"/>
              <w:bottom w:val="single" w:sz="4" w:space="0" w:color="94A3B8"/>
            </w:tcBorders>
          </w:tcPr>
          <w:p w:rsidR="00A43BB6" w:rsidRDefault="0044650C">
            <w:r>
              <w:t>3,122</w:t>
            </w:r>
          </w:p>
        </w:tc>
        <w:tc>
          <w:tcPr>
            <w:tcW w:w="1170" w:type="dxa"/>
            <w:tcBorders>
              <w:top w:val="single" w:sz="4" w:space="0" w:color="94A3B8"/>
              <w:bottom w:val="single" w:sz="4" w:space="0" w:color="94A3B8"/>
            </w:tcBorders>
          </w:tcPr>
          <w:p w:rsidR="00A43BB6" w:rsidRDefault="0044650C">
            <w:r>
              <w:t>Multivariate Logistic Regression</w:t>
            </w:r>
          </w:p>
        </w:tc>
        <w:tc>
          <w:tcPr>
            <w:tcW w:w="1170" w:type="dxa"/>
            <w:tcBorders>
              <w:top w:val="single" w:sz="4" w:space="0" w:color="94A3B8"/>
              <w:bottom w:val="single" w:sz="4" w:space="0" w:color="94A3B8"/>
            </w:tcBorders>
          </w:tcPr>
          <w:p w:rsidR="00A43BB6" w:rsidRDefault="0044650C">
            <w:r>
              <w:t>Adjusted Odds Ratios ($\text{AOR}$)</w:t>
            </w:r>
          </w:p>
        </w:tc>
        <w:tc>
          <w:tcPr>
            <w:tcW w:w="1170" w:type="dxa"/>
            <w:tcBorders>
              <w:top w:val="single" w:sz="4" w:space="0" w:color="94A3B8"/>
              <w:bottom w:val="single" w:sz="4" w:space="0" w:color="94A3B8"/>
            </w:tcBorders>
          </w:tcPr>
          <w:p w:rsidR="00A43BB6" w:rsidRDefault="0044650C">
            <w:r>
              <w:t>Not applicable</w:t>
            </w:r>
          </w:p>
        </w:tc>
        <w:tc>
          <w:tcPr>
            <w:tcW w:w="1170" w:type="dxa"/>
            <w:tcBorders>
              <w:top w:val="single" w:sz="4" w:space="0" w:color="94A3B8"/>
              <w:bottom w:val="single" w:sz="4" w:space="0" w:color="94A3B8"/>
            </w:tcBorders>
          </w:tcPr>
          <w:p w:rsidR="00A43BB6" w:rsidRDefault="0044650C">
            <w:r>
              <w:t>No</w:t>
            </w:r>
          </w:p>
        </w:tc>
        <w:tc>
          <w:tcPr>
            <w:tcW w:w="1170" w:type="dxa"/>
            <w:tcBorders>
              <w:top w:val="single" w:sz="4" w:space="0" w:color="94A3B8"/>
              <w:bottom w:val="single" w:sz="4" w:space="0" w:color="94A3B8"/>
            </w:tcBorders>
          </w:tcPr>
          <w:p w:rsidR="00A43BB6" w:rsidRDefault="0044650C">
            <w:r>
              <w:t>No</w:t>
            </w:r>
          </w:p>
        </w:tc>
      </w:tr>
      <w:tr w:rsidR="00A43BB6">
        <w:trPr>
          <w:jc w:val="center"/>
        </w:trPr>
        <w:tc>
          <w:tcPr>
            <w:tcW w:w="1170" w:type="dxa"/>
            <w:tcBorders>
              <w:top w:val="single" w:sz="4" w:space="0" w:color="94A3B8"/>
              <w:bottom w:val="single" w:sz="4" w:space="0" w:color="94A3B8"/>
            </w:tcBorders>
          </w:tcPr>
          <w:p w:rsidR="00A43BB6" w:rsidRDefault="0044650C">
            <w:r>
              <w:t>Hossen et al. (2023) [111]</w:t>
            </w:r>
          </w:p>
        </w:tc>
        <w:tc>
          <w:tcPr>
            <w:tcW w:w="1170" w:type="dxa"/>
            <w:tcBorders>
              <w:top w:val="single" w:sz="4" w:space="0" w:color="94A3B8"/>
              <w:bottom w:val="single" w:sz="4" w:space="0" w:color="94A3B8"/>
            </w:tcBorders>
          </w:tcPr>
          <w:p w:rsidR="00A43BB6" w:rsidRDefault="0044650C">
            <w:r>
              <w:t>University Student Psychological Distress</w:t>
            </w:r>
          </w:p>
        </w:tc>
        <w:tc>
          <w:tcPr>
            <w:tcW w:w="1170" w:type="dxa"/>
            <w:tcBorders>
              <w:top w:val="single" w:sz="4" w:space="0" w:color="94A3B8"/>
              <w:bottom w:val="single" w:sz="4" w:space="0" w:color="94A3B8"/>
            </w:tcBorders>
          </w:tcPr>
          <w:p w:rsidR="00A43BB6" w:rsidRDefault="0044650C">
            <w:r>
              <w:t>1,200</w:t>
            </w:r>
          </w:p>
        </w:tc>
        <w:tc>
          <w:tcPr>
            <w:tcW w:w="1170" w:type="dxa"/>
            <w:tcBorders>
              <w:top w:val="single" w:sz="4" w:space="0" w:color="94A3B8"/>
              <w:bottom w:val="single" w:sz="4" w:space="0" w:color="94A3B8"/>
            </w:tcBorders>
          </w:tcPr>
          <w:p w:rsidR="00A43BB6" w:rsidRDefault="0044650C">
            <w:r>
              <w:t>Binary Logistic Regression</w:t>
            </w:r>
          </w:p>
        </w:tc>
        <w:tc>
          <w:tcPr>
            <w:tcW w:w="1170" w:type="dxa"/>
            <w:tcBorders>
              <w:top w:val="single" w:sz="4" w:space="0" w:color="94A3B8"/>
              <w:bottom w:val="single" w:sz="4" w:space="0" w:color="94A3B8"/>
            </w:tcBorders>
          </w:tcPr>
          <w:p w:rsidR="00A43BB6" w:rsidRDefault="0044650C">
            <w:r>
              <w:t>Adjusted Odds Ratios ($\text{AOR}$)</w:t>
            </w:r>
          </w:p>
        </w:tc>
        <w:tc>
          <w:tcPr>
            <w:tcW w:w="1170" w:type="dxa"/>
            <w:tcBorders>
              <w:top w:val="single" w:sz="4" w:space="0" w:color="94A3B8"/>
              <w:bottom w:val="single" w:sz="4" w:space="0" w:color="94A3B8"/>
            </w:tcBorders>
          </w:tcPr>
          <w:p w:rsidR="00A43BB6" w:rsidRDefault="0044650C">
            <w:r>
              <w:t>Not applicable</w:t>
            </w:r>
          </w:p>
        </w:tc>
        <w:tc>
          <w:tcPr>
            <w:tcW w:w="1170" w:type="dxa"/>
            <w:tcBorders>
              <w:top w:val="single" w:sz="4" w:space="0" w:color="94A3B8"/>
              <w:bottom w:val="single" w:sz="4" w:space="0" w:color="94A3B8"/>
            </w:tcBorders>
          </w:tcPr>
          <w:p w:rsidR="00A43BB6" w:rsidRDefault="0044650C">
            <w:r>
              <w:t>No</w:t>
            </w:r>
          </w:p>
        </w:tc>
        <w:tc>
          <w:tcPr>
            <w:tcW w:w="1170" w:type="dxa"/>
            <w:tcBorders>
              <w:top w:val="single" w:sz="4" w:space="0" w:color="94A3B8"/>
              <w:bottom w:val="single" w:sz="4" w:space="0" w:color="94A3B8"/>
            </w:tcBorders>
          </w:tcPr>
          <w:p w:rsidR="00A43BB6" w:rsidRDefault="0044650C">
            <w:r>
              <w:t>No</w:t>
            </w:r>
          </w:p>
        </w:tc>
      </w:tr>
      <w:tr w:rsidR="00A43BB6">
        <w:trPr>
          <w:jc w:val="center"/>
        </w:trPr>
        <w:tc>
          <w:tcPr>
            <w:tcW w:w="1170" w:type="dxa"/>
            <w:tcBorders>
              <w:top w:val="single" w:sz="4" w:space="0" w:color="94A3B8"/>
              <w:bottom w:val="single" w:sz="4" w:space="0" w:color="94A3B8"/>
            </w:tcBorders>
          </w:tcPr>
          <w:p w:rsidR="00A43BB6" w:rsidRDefault="0044650C">
            <w:r>
              <w:rPr>
                <w:b/>
              </w:rPr>
              <w:t>Present study</w:t>
            </w:r>
          </w:p>
        </w:tc>
        <w:tc>
          <w:tcPr>
            <w:tcW w:w="1170" w:type="dxa"/>
            <w:tcBorders>
              <w:top w:val="single" w:sz="4" w:space="0" w:color="94A3B8"/>
              <w:bottom w:val="single" w:sz="4" w:space="0" w:color="94A3B8"/>
            </w:tcBorders>
          </w:tcPr>
          <w:p w:rsidR="00A43BB6" w:rsidRDefault="0044650C">
            <w:r>
              <w:rPr>
                <w:b/>
              </w:rPr>
              <w:t xml:space="preserve">University Student Academic </w:t>
            </w:r>
            <w:r>
              <w:rPr>
                <w:b/>
              </w:rPr>
              <w:lastRenderedPageBreak/>
              <w:t>Burnout</w:t>
            </w:r>
          </w:p>
        </w:tc>
        <w:tc>
          <w:tcPr>
            <w:tcW w:w="1170" w:type="dxa"/>
            <w:tcBorders>
              <w:top w:val="single" w:sz="4" w:space="0" w:color="94A3B8"/>
              <w:bottom w:val="single" w:sz="4" w:space="0" w:color="94A3B8"/>
            </w:tcBorders>
          </w:tcPr>
          <w:p w:rsidR="00A43BB6" w:rsidRDefault="0044650C">
            <w:r>
              <w:rPr>
                <w:b/>
              </w:rPr>
              <w:lastRenderedPageBreak/>
              <w:t>601</w:t>
            </w:r>
          </w:p>
        </w:tc>
        <w:tc>
          <w:tcPr>
            <w:tcW w:w="1170" w:type="dxa"/>
            <w:tcBorders>
              <w:top w:val="single" w:sz="4" w:space="0" w:color="94A3B8"/>
              <w:bottom w:val="single" w:sz="4" w:space="0" w:color="94A3B8"/>
            </w:tcBorders>
          </w:tcPr>
          <w:p w:rsidR="00A43BB6" w:rsidRDefault="0044650C">
            <w:r>
              <w:rPr>
                <w:b/>
              </w:rPr>
              <w:t xml:space="preserve">10 models + Soft </w:t>
            </w:r>
            <w:r>
              <w:rPr>
                <w:b/>
              </w:rPr>
              <w:lastRenderedPageBreak/>
              <w:t>Voting Ensemble</w:t>
            </w:r>
          </w:p>
        </w:tc>
        <w:tc>
          <w:tcPr>
            <w:tcW w:w="1170" w:type="dxa"/>
            <w:tcBorders>
              <w:top w:val="single" w:sz="4" w:space="0" w:color="94A3B8"/>
              <w:bottom w:val="single" w:sz="4" w:space="0" w:color="94A3B8"/>
            </w:tcBorders>
          </w:tcPr>
          <w:p w:rsidR="00A43BB6" w:rsidRDefault="0044650C">
            <w:r>
              <w:rPr>
                <w:b/>
              </w:rPr>
              <w:lastRenderedPageBreak/>
              <w:t xml:space="preserve">SHAP (Global + Local) + PI + </w:t>
            </w:r>
            <w:r>
              <w:rPr>
                <w:b/>
              </w:rPr>
              <w:lastRenderedPageBreak/>
              <w:t>FI</w:t>
            </w:r>
          </w:p>
        </w:tc>
        <w:tc>
          <w:tcPr>
            <w:tcW w:w="1170" w:type="dxa"/>
            <w:tcBorders>
              <w:top w:val="single" w:sz="4" w:space="0" w:color="94A3B8"/>
              <w:bottom w:val="single" w:sz="4" w:space="0" w:color="94A3B8"/>
            </w:tcBorders>
          </w:tcPr>
          <w:p w:rsidR="00A43BB6" w:rsidRDefault="0044650C">
            <w:r>
              <w:rPr>
                <w:b/>
              </w:rPr>
              <w:lastRenderedPageBreak/>
              <w:t xml:space="preserve">10-Fold Stratified CV + </w:t>
            </w:r>
            <w:r>
              <w:rPr>
                <w:b/>
              </w:rPr>
              <w:lastRenderedPageBreak/>
              <w:t>Subgroup</w:t>
            </w:r>
          </w:p>
        </w:tc>
        <w:tc>
          <w:tcPr>
            <w:tcW w:w="1170" w:type="dxa"/>
            <w:tcBorders>
              <w:top w:val="single" w:sz="4" w:space="0" w:color="94A3B8"/>
              <w:bottom w:val="single" w:sz="4" w:space="0" w:color="94A3B8"/>
            </w:tcBorders>
          </w:tcPr>
          <w:p w:rsidR="00A43BB6" w:rsidRDefault="0044650C">
            <w:r>
              <w:rPr>
                <w:b/>
              </w:rPr>
              <w:lastRenderedPageBreak/>
              <w:t>Yes (N = 20 intervie</w:t>
            </w:r>
            <w:r>
              <w:rPr>
                <w:b/>
              </w:rPr>
              <w:lastRenderedPageBreak/>
              <w:t>ws)</w:t>
            </w:r>
          </w:p>
        </w:tc>
        <w:tc>
          <w:tcPr>
            <w:tcW w:w="1170" w:type="dxa"/>
            <w:tcBorders>
              <w:top w:val="single" w:sz="4" w:space="0" w:color="94A3B8"/>
              <w:bottom w:val="single" w:sz="4" w:space="0" w:color="94A3B8"/>
            </w:tcBorders>
          </w:tcPr>
          <w:p w:rsidR="00A43BB6" w:rsidRDefault="0044650C">
            <w:r>
              <w:rPr>
                <w:b/>
              </w:rPr>
              <w:lastRenderedPageBreak/>
              <w:t>Yes (Explanatory Matrix)</w:t>
            </w:r>
          </w:p>
        </w:tc>
      </w:tr>
    </w:tbl>
    <w:p w:rsidR="00A43BB6" w:rsidRDefault="00A43BB6">
      <w:pPr>
        <w:spacing w:after="120"/>
      </w:pPr>
    </w:p>
    <w:p w:rsidR="00A43BB6" w:rsidRDefault="0044650C">
      <w:pPr>
        <w:spacing w:after="80"/>
      </w:pPr>
      <w:r>
        <w:rPr>
          <w:i/>
        </w:rPr>
        <w:t>Note.</w:t>
      </w:r>
      <w:r>
        <w:t xml:space="preserve"> LR = Logistic Regression; RF = Random Forest; SVM = Support Vector Machine; LDA = Linear Discriminant Analysis; KNN = K-Nearest Neighbors; NB = Naïve Bayes; DT = Decision Tree; ANN = Artificial Neural Network; SHAP = SHapley Additive exPlanations; PI = Permutation Importance; FI = Feature Importance; CV = Cross-Validation.</w:t>
      </w:r>
    </w:p>
    <w:p w:rsidR="00A43BB6" w:rsidRDefault="0044650C">
      <w:pPr>
        <w:pStyle w:val="Heading2"/>
        <w:spacing w:before="240" w:after="80"/>
      </w:pPr>
      <w:r>
        <w:rPr>
          <w:color w:val="1E3A8A"/>
        </w:rPr>
        <w:t>3. Materials and Methods</w:t>
      </w:r>
    </w:p>
    <w:p>
      <w:pPr>
        <w:pStyle w:val="Heading3"/>
        <w:spacing w:after="60"/>
      </w:pPr>
      <w:r>
        <w:rPr>
          <w:color w:val="047857"/>
        </w:rPr>
        <w:t xml:space="preserve">3.1 Design of the Study</w:t>
      </w:r>
    </w:p>
    <w:p>
      <w:pPr>
        <w:spacing w:after="0" w:line="240" w:lineRule="auto"/>
      </w:pPr>
      <w:r>
        <w:rPr>
          <w:rFonts w:ascii="Times New Roman" w:eastAsia="Times New Roman" w:hAnsi="Times New Roman" w:cs="Times New Roman"/>
          <w:sz w:val="24"/>
          <w:szCs w:val="24"/>
          <w:lang w:val="en-GB" w:eastAsia="en-GB" w:bidi="bn-BD"/>
        </w:rPr>
        <w:t xml:space="preserve">We used an explanatory sequential mixed-methods design (QUAN → QUAL) [26] combining supervised machine learning of cross-sectional survey data with reflexive thematic analysis of qualitative interviews. The first phase (QUAN) involved the analysis of survey data (N = 601) using 10 supervised classification algorithms and game-theoretic SHAP explainability. In the second phase (QUAL) N = 20 students were purposively recruited across levels of burnout severity to elaborate the quantitative feature attributions through semi-structured interviews. Merging the two analytic streams within a systematic protocol for convergence also overcomes the interpretability limitations of traditional predictive modelling methods.</w:t>
      </w:r>
    </w:p>
    <w:p>
      <w:pPr>
        <w:pStyle w:val="Heading3"/>
        <w:spacing w:after="60"/>
      </w:pPr>
      <w:r>
        <w:rPr>
          <w:color w:val="047857"/>
        </w:rPr>
        <w:t xml:space="preserve">3.2 Sample and Participants</w:t>
      </w:r>
    </w:p>
    <w:p>
      <w:pPr>
        <w:spacing w:after="0" w:line="240" w:lineRule="auto"/>
      </w:pPr>
      <w:r>
        <w:rPr>
          <w:rFonts w:ascii="Times New Roman" w:eastAsia="Times New Roman" w:hAnsi="Times New Roman" w:cs="Times New Roman"/>
          <w:sz w:val="24"/>
          <w:szCs w:val="24"/>
          <w:lang w:val="en-GB" w:eastAsia="en-GB" w:bidi="bn-BD"/>
        </w:rPr>
        <w:t xml:space="preserve">The quantitative survey sample consists of N = 601 university students in Bangladesh, recruited through institutional networks via online distribution. The cohort consists of students from different academic fields, mainly Bachelor (69.2%) and Master students (25.0%) and has a gender-balanced ratio (Male: 57.2%, Female: 42.8%). The quantitative analysis was used to select a purposeful sub-sample of N = 20 students using a nested maximum variation sampling strategy across levels of burnout severity (Low, Medium, High). This sample size (N=20) satisfied the requirements for thematic saturation in reflexive qualitative analysis among relatively homogenous student populations [92, 98, 118].</w:t>
      </w:r>
    </w:p>
    <w:p>
      <w:pPr>
        <w:pStyle w:val="Heading3"/>
        <w:spacing w:after="60"/>
      </w:pPr>
      <w:r>
        <w:rPr>
          <w:color w:val="047857"/>
        </w:rPr>
        <w:t xml:space="preserve">3.3 Data collection tools and operationalisation</w:t>
      </w:r>
    </w:p>
    <w:p>
      <w:pPr>
        <w:spacing w:after="0" w:line="240" w:lineRule="auto"/>
      </w:pPr>
      <w:r>
        <w:rPr>
          <w:rFonts w:ascii="Times New Roman" w:eastAsia="Times New Roman" w:hAnsi="Times New Roman" w:cs="Times New Roman"/>
          <w:sz w:val="24"/>
          <w:szCs w:val="24"/>
          <w:lang w:val="en-GB" w:eastAsia="en-GB" w:bidi="bn-BD"/>
        </w:rPr>
        <w:t xml:space="preserve">Quantitative Research: The survey included sociodemographic indicators, behavioural measures (study hours, sleep time, physical activity, social media use) and psychometric items (academic pressure, perceived stress, depressive affect, motivation). The main outcome, academic burnout severity, was operationalised as a 3-point global ordinal measure (`burnout_score’: 1 = Low, 2 = Medium, 3 = High) informed conceptually by the Maslach Burnout Inventory-Student Survey (MBI-SS) [6] and Copenhagen Burnout Inventory (CBI) [93]. Binary classification modelling scores were thresholded to Low/Medium Burnout (Target=0, n=346, 57.57%) vs. High Burnout (Target=1, n=255, 42.43%) Methodological Note: Psychometric Construct Validity and Common-Method Bias: In primary exploratory student surveys, single-item global ratings provide remarkably high response efficiency and response rates [41, 57]. Burnout measures that are based on single-item self-reports have been shown to be acceptable in terms of concurrent and convergent validity compared with full multi-item instruments such as the MBI, based on extensive psychometric validations (Rohland et al., 2004; West et al., 2009; Elo et al., 2003) [118, 119]. However, a single-item global outcome in a one-wave cross-sectional survey is vulnerable to common-method variance (CMV) and has an operational ceiling on classification performance (Section 9.10). We acknowledge such trade-offs in construct-validity explicitly and emphasise that classification scores reflect concurrent behavioural self-report associations rather than clinical diagnostic thresholds or longitudinal forecasting. Future multi-institutional replications should include administration of full multi-item subscales (e.g., emotional exhaustion, cynicism, academic efficacy, MBI-SS) and longitudinal multi-wave tracking. Qualitative Interviews: Semi-structured interviews (45–60 min) were conducted in person or via secure digital video platforms. The interview guide was designed to cover academic pressures, coping methods, digital media use, sleep patterns and institutional support systems. Qualitative transcripts were open-coded prior to reviewing final SHAP quantitative feature rankings to avoid confirmatory bias.</w:t>
      </w:r>
    </w:p>
    <w:p>
      <w:pPr>
        <w:pStyle w:val="Heading3"/>
        <w:spacing w:after="60"/>
      </w:pPr>
      <w:r>
        <w:rPr>
          <w:color w:val="047857"/>
        </w:rPr>
        <w:t xml:space="preserve">3.4 Consideration of ethics</w:t>
      </w:r>
    </w:p>
    <w:p>
      <w:pPr>
        <w:spacing w:after="0" w:line="240" w:lineRule="auto"/>
      </w:pPr>
      <w:r>
        <w:rPr>
          <w:rFonts w:ascii="Times New Roman" w:eastAsia="Times New Roman" w:hAnsi="Times New Roman" w:cs="Times New Roman"/>
          <w:sz w:val="24"/>
          <w:szCs w:val="24"/>
          <w:lang w:val="en-GB" w:eastAsia="en-GB" w:bidi="bn-BD"/>
        </w:rPr>
        <w:t xml:space="preserve">The study was conducted in accordance with the ethical principles of the Declaration of Helsinki for research involving human subjects. As the research was an observational, non-invasive, cross-sectional survey and voluntary qualitative interviews with adult university students (aged 18 years or older) with minimal psychological risk, formal ethics committee review was exempt as per institutional guidelines for minimal-risk educational research. All participants gave informed electronic consent before finishing the survey and taking part in interviews. Participation of qualitative interviewees was entirely voluntary and they had the right to skip any question or withdraw at any time with no academic penalty. All interviewees were provided with contact details for counselling support. Confidentiality was completely maintained by replacing all personal identifiers and institutional names with standardised pseudonyms (Participant 1 [P1] to Participant 20 [P20]) in all published materials. Raw audio files and transcripts were stored in encrypted, password protected local storage accessible only to the research team.</w:t>
      </w:r>
    </w:p>
    <w:p>
      <w:pPr>
        <w:pStyle w:val="Heading3"/>
        <w:spacing w:after="60"/>
      </w:pPr>
      <w:r>
        <w:rPr>
          <w:color w:val="047857"/>
        </w:rPr>
        <w:t xml:space="preserve">3.5 Preprocessing of Data and Feature Engineering</w:t>
      </w:r>
    </w:p>
    <w:p>
      <w:pPr>
        <w:spacing w:after="0" w:line="240" w:lineRule="auto"/>
      </w:pPr>
      <w:r>
        <w:rPr>
          <w:rFonts w:ascii="Times New Roman" w:eastAsia="Times New Roman" w:hAnsi="Times New Roman" w:cs="Times New Roman"/>
          <w:sz w:val="24"/>
          <w:szCs w:val="24"/>
          <w:lang w:val="en-GB" w:eastAsia="en-GB" w:bidi="bn-BD"/>
        </w:rPr>
        <w:t xml:space="preserve">Data preparation and model evaluation were done in Python with `scikit-learn` [94], with exact runtime dependencies recorded in `requirements.txt`. All feature engineering routines are wrapped into a shared module (feature_engineering.py) to ensure consistency between training, cross-validation and SHAP pipelines. The survey dataset was checked for completeness and there were no missing values for any of the 18 variables (N = 601). The binary classification target was to classify High Burnout (Score = 3, n = 255, 42.43%) versus Low/Medium Burnout (Scores 1 and 2, n = 346, 57.57%). Stratified 10-fold cross-validation was used to maintain class ratios across all evaluation folds. To capture non-linear psychological dynamics, nine composite indices were developed based on JD-R and COR theory (see Table 2). Target correlations for composite features were low to moderate ($|r| = 0.015$ to 0.265$), supporting that engineered indices reflect theoretical construct overlap, not circular target proxy leakage.</w:t>
      </w:r>
    </w:p>
    <w:p>
      <w:pPr>
        <w:pStyle w:val="Heading3"/>
        <w:spacing w:after="60"/>
      </w:pPr>
      <w:r>
        <w:rPr>
          <w:color w:val="047857"/>
        </w:rPr>
        <w:t xml:space="preserve">Table 2. Feature Engineering Configurations on Domain-Specific Data</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color="94A3B8" w:sz="4"/>
              <w:left w:val="none"/>
              <w:bottom w:val="single" w:color="94A3B8" w:sz="4"/>
              <w:right w:val="none"/>
            </w:tcBorders>
            <w:shd w:val="clear" w:color="auto" w:fill="1E3A8A"/>
          </w:tcPr>
          <w:p>
            <w:pPr>
              <w:spacing w:after="40" w:before="40"/>
              <w:jc w:val="left"/>
            </w:pPr>
            <w:r>
              <w:rPr>
                <w:b/>
                <w:color w:val="FFFFFF"/>
                <w:sz w:val="19"/>
              </w:rPr>
              <w:t>Feature Name</w:t>
            </w:r>
          </w:p>
        </w:tc>
        <w:tc>
          <w:tcPr>
            <w:tcW w:type="dxa" w:w="2340"/>
            <w:tcBorders>
              <w:top w:val="single" w:color="94A3B8" w:sz="4"/>
              <w:left w:val="none"/>
              <w:bottom w:val="single" w:color="94A3B8" w:sz="4"/>
              <w:right w:val="none"/>
            </w:tcBorders>
            <w:shd w:val="clear" w:color="auto" w:fill="1E3A8A"/>
          </w:tcPr>
          <w:p>
            <w:pPr>
              <w:spacing w:after="40" w:before="40"/>
              <w:jc w:val="left"/>
            </w:pPr>
            <w:r>
              <w:rPr>
                <w:b/>
                <w:color w:val="FFFFFF"/>
                <w:sz w:val="19"/>
              </w:rPr>
              <w:t>Category</w:t>
            </w:r>
          </w:p>
        </w:tc>
        <w:tc>
          <w:tcPr>
            <w:tcW w:type="dxa" w:w="2340"/>
            <w:tcBorders>
              <w:top w:val="single" w:color="94A3B8" w:sz="4"/>
              <w:left w:val="none"/>
              <w:bottom w:val="single" w:color="94A3B8" w:sz="4"/>
              <w:right w:val="none"/>
            </w:tcBorders>
            <w:shd w:val="clear" w:color="auto" w:fill="1E3A8A"/>
          </w:tcPr>
          <w:p>
            <w:pPr>
              <w:spacing w:after="40" w:before="40"/>
              <w:jc w:val="left"/>
            </w:pPr>
            <w:r>
              <w:rPr>
                <w:b/>
                <w:color w:val="FFFFFF"/>
                <w:sz w:val="19"/>
              </w:rPr>
              <w:t>Math Definition / Calculation</w:t>
            </w:r>
          </w:p>
        </w:tc>
        <w:tc>
          <w:tcPr>
            <w:tcW w:type="dxa" w:w="2340"/>
            <w:tcBorders>
              <w:top w:val="single" w:color="94A3B8" w:sz="4"/>
              <w:left w:val="none"/>
              <w:bottom w:val="single" w:color="94A3B8" w:sz="4"/>
              <w:right w:val="none"/>
            </w:tcBorders>
            <w:shd w:val="clear" w:color="auto" w:fill="1E3A8A"/>
          </w:tcPr>
          <w:p>
            <w:pPr>
              <w:spacing w:after="40" w:before="40"/>
              <w:jc w:val="left"/>
            </w:pPr>
            <w:r>
              <w:rPr>
                <w:b/>
                <w:color w:val="FFFFFF"/>
                <w:sz w:val="19"/>
              </w:rPr>
              <w:t>Conceptual Justification</w:t>
            </w:r>
          </w:p>
        </w:tc>
      </w:tr>
      <w:tr>
        <w:tc>
          <w:tcPr>
            <w:tcW w:type="dxa" w:w="2340"/>
            <w:tcBorders>
              <w:top w:val="single" w:color="94A3B8" w:sz="4"/>
              <w:left w:val="none"/>
              <w:bottom w:val="single" w:color="94A3B8" w:sz="4"/>
              <w:right w:val="none"/>
            </w:tcBorders>
          </w:tcPr>
          <w:p>
            <w:pPr>
              <w:spacing w:after="40" w:before="40"/>
              <w:jc w:val="left"/>
            </w:pPr>
            <w:r>
              <w:rPr>
                <w:rFonts w:ascii="Consolas" w:hAnsi="Consolas"/>
                <w:color w:val="1E293B"/>
                <w:sz w:val="18"/>
              </w:rPr>
              <w:t>psychological_strain_index</w:t>
            </w:r>
          </w:p>
        </w:tc>
        <w:tc>
          <w:tcPr>
            <w:tcW w:type="dxa" w:w="2340"/>
            <w:tcBorders>
              <w:top w:val="single" w:color="94A3B8" w:sz="4"/>
              <w:left w:val="none"/>
              <w:bottom w:val="single" w:color="94A3B8" w:sz="4"/>
              <w:right w:val="none"/>
            </w:tcBorders>
          </w:tcPr>
          <w:p>
            <w:pPr>
              <w:spacing w:after="40" w:before="40"/>
              <w:jc w:val="left"/>
            </w:pPr>
            <w:r>
              <w:rPr>
                <w:color w:val="1E293B"/>
                <w:sz w:val="18"/>
              </w:rPr>
              <w:t>Psychological</w:t>
            </w:r>
          </w:p>
        </w:tc>
        <w:tc>
          <w:tcPr>
            <w:tcW w:type="dxa" w:w="2340"/>
            <w:tcBorders>
              <w:top w:val="single" w:color="94A3B8" w:sz="4"/>
              <w:left w:val="none"/>
              <w:bottom w:val="single" w:color="94A3B8" w:sz="4"/>
              <w:right w:val="none"/>
            </w:tcBorders>
          </w:tcPr>
          <w:p>
            <w:pPr>
              <w:spacing w:after="40" w:before="40"/>
              <w:jc w:val="left"/>
            </w:pPr>
            <w:r>
              <w:rPr>
                <w:color w:val="1E293B"/>
                <w:sz w:val="18"/>
              </w:rPr>
              <w:t>stress_score + depression_score</w:t>
            </w:r>
          </w:p>
        </w:tc>
        <w:tc>
          <w:tcPr>
            <w:tcW w:type="dxa" w:w="2340"/>
            <w:tcBorders>
              <w:top w:val="single" w:color="94A3B8" w:sz="4"/>
              <w:left w:val="none"/>
              <w:bottom w:val="single" w:color="94A3B8" w:sz="4"/>
              <w:right w:val="none"/>
            </w:tcBorders>
          </w:tcPr>
          <w:p>
            <w:pPr>
              <w:spacing w:after="40" w:before="40"/>
              <w:jc w:val="left"/>
            </w:pPr>
            <w:r>
              <w:rPr>
                <w:color w:val="1E293B"/>
                <w:sz w:val="18"/>
              </w:rPr>
              <w:t>Sum of core affective distress markers.</w:t>
            </w:r>
          </w:p>
        </w:tc>
      </w:tr>
      <w:tr>
        <w:tc>
          <w:tcPr>
            <w:tcW w:type="dxa" w:w="2340"/>
            <w:tcBorders>
              <w:top w:val="single" w:color="94A3B8" w:sz="4"/>
              <w:left w:val="none"/>
              <w:bottom w:val="single" w:color="94A3B8" w:sz="4"/>
              <w:right w:val="none"/>
            </w:tcBorders>
          </w:tcPr>
          <w:p>
            <w:pPr>
              <w:spacing w:after="40" w:before="40"/>
              <w:jc w:val="left"/>
            </w:pPr>
            <w:r>
              <w:rPr>
                <w:rFonts w:ascii="Consolas" w:hAnsi="Consolas"/>
                <w:color w:val="1E293B"/>
                <w:sz w:val="18"/>
              </w:rPr>
              <w:t>academic_pressure_index</w:t>
            </w:r>
          </w:p>
        </w:tc>
        <w:tc>
          <w:tcPr>
            <w:tcW w:type="dxa" w:w="2340"/>
            <w:tcBorders>
              <w:top w:val="single" w:color="94A3B8" w:sz="4"/>
              <w:left w:val="none"/>
              <w:bottom w:val="single" w:color="94A3B8" w:sz="4"/>
              <w:right w:val="none"/>
            </w:tcBorders>
          </w:tcPr>
          <w:p>
            <w:pPr>
              <w:spacing w:after="40" w:before="40"/>
              <w:jc w:val="left"/>
            </w:pPr>
            <w:r>
              <w:rPr>
                <w:color w:val="1E293B"/>
                <w:sz w:val="18"/>
              </w:rPr>
              <w:t>Academic Load</w:t>
            </w:r>
          </w:p>
        </w:tc>
        <w:tc>
          <w:tcPr>
            <w:tcW w:type="dxa" w:w="2340"/>
            <w:tcBorders>
              <w:top w:val="single" w:color="94A3B8" w:sz="4"/>
              <w:left w:val="none"/>
              <w:bottom w:val="single" w:color="94A3B8" w:sz="4"/>
              <w:right w:val="none"/>
            </w:tcBorders>
          </w:tcPr>
          <w:p>
            <w:pPr>
              <w:spacing w:after="40" w:before="40"/>
              <w:jc w:val="left"/>
            </w:pPr>
            <w:r>
              <w:rPr>
                <w:color w:val="1E293B"/>
                <w:sz w:val="18"/>
              </w:rPr>
              <w:t>academic_pressure_score + workload_score</w:t>
            </w:r>
          </w:p>
        </w:tc>
        <w:tc>
          <w:tcPr>
            <w:tcW w:type="dxa" w:w="2340"/>
            <w:tcBorders>
              <w:top w:val="single" w:color="94A3B8" w:sz="4"/>
              <w:left w:val="none"/>
              <w:bottom w:val="single" w:color="94A3B8" w:sz="4"/>
              <w:right w:val="none"/>
            </w:tcBorders>
          </w:tcPr>
          <w:p>
            <w:pPr>
              <w:spacing w:after="40" w:before="40"/>
              <w:jc w:val="left"/>
            </w:pPr>
            <w:r>
              <w:rPr>
                <w:color w:val="1E293B"/>
                <w:sz w:val="18"/>
              </w:rPr>
              <w:t>A measure of perceived academic stress from coursework and assignments.</w:t>
            </w:r>
          </w:p>
        </w:tc>
      </w:tr>
      <w:tr>
        <w:tc>
          <w:tcPr>
            <w:tcW w:type="dxa" w:w="2340"/>
            <w:tcBorders>
              <w:top w:val="single" w:color="94A3B8" w:sz="4"/>
              <w:left w:val="none"/>
              <w:bottom w:val="single" w:color="94A3B8" w:sz="4"/>
              <w:right w:val="none"/>
            </w:tcBorders>
          </w:tcPr>
          <w:p>
            <w:pPr>
              <w:spacing w:after="40" w:before="40"/>
              <w:jc w:val="left"/>
            </w:pPr>
            <w:r>
              <w:rPr>
                <w:rFonts w:ascii="Consolas" w:hAnsi="Consolas"/>
                <w:color w:val="1E293B"/>
                <w:sz w:val="18"/>
              </w:rPr>
              <w:t>burnout_vulnerability_index</w:t>
            </w:r>
          </w:p>
        </w:tc>
        <w:tc>
          <w:tcPr>
            <w:tcW w:type="dxa" w:w="2340"/>
            <w:tcBorders>
              <w:top w:val="single" w:color="94A3B8" w:sz="4"/>
              <w:left w:val="none"/>
              <w:bottom w:val="single" w:color="94A3B8" w:sz="4"/>
              <w:right w:val="none"/>
            </w:tcBorders>
          </w:tcPr>
          <w:p>
            <w:pPr>
              <w:spacing w:after="40" w:before="40"/>
              <w:jc w:val="left"/>
            </w:pPr>
            <w:r>
              <w:rPr>
                <w:color w:val="1E293B"/>
                <w:sz w:val="18"/>
              </w:rPr>
              <w:t>Systemic Risk</w:t>
            </w:r>
          </w:p>
        </w:tc>
        <w:tc>
          <w:tcPr>
            <w:tcW w:type="dxa" w:w="2340"/>
            <w:tcBorders>
              <w:top w:val="single" w:color="94A3B8" w:sz="4"/>
              <w:left w:val="none"/>
              <w:bottom w:val="single" w:color="94A3B8" w:sz="4"/>
              <w:right w:val="none"/>
            </w:tcBorders>
          </w:tcPr>
          <w:p>
            <w:pPr>
              <w:spacing w:after="40" w:before="40"/>
              <w:jc w:val="left"/>
            </w:pPr>
            <w:r>
              <w:rPr>
                <w:color w:val="1E293B"/>
                <w:sz w:val="18"/>
              </w:rPr>
              <w:t>(psychological_strain_index * academic_pressure_index) / (motivation_score + sleep_quality_score + 0.1)</w:t>
            </w:r>
          </w:p>
        </w:tc>
        <w:tc>
          <w:tcPr>
            <w:tcW w:type="dxa" w:w="2340"/>
            <w:tcBorders>
              <w:top w:val="single" w:color="94A3B8" w:sz="4"/>
              <w:left w:val="none"/>
              <w:bottom w:val="single" w:color="94A3B8" w:sz="4"/>
              <w:right w:val="none"/>
            </w:tcBorders>
          </w:tcPr>
          <w:p>
            <w:pPr>
              <w:spacing w:after="40" w:before="40"/>
              <w:jc w:val="left"/>
            </w:pPr>
            <w:r>
              <w:rPr>
                <w:color w:val="1E293B"/>
                <w:sz w:val="18"/>
              </w:rPr>
              <w:t>Quantifies total demand exposure relative to restorative reserves [31].</w:t>
            </w:r>
          </w:p>
        </w:tc>
      </w:tr>
      <w:tr>
        <w:tc>
          <w:tcPr>
            <w:tcW w:type="dxa" w:w="2340"/>
            <w:tcBorders>
              <w:top w:val="single" w:color="94A3B8" w:sz="4"/>
              <w:left w:val="none"/>
              <w:bottom w:val="single" w:color="94A3B8" w:sz="4"/>
              <w:right w:val="none"/>
            </w:tcBorders>
          </w:tcPr>
          <w:p>
            <w:pPr>
              <w:spacing w:after="40" w:before="40"/>
              <w:jc w:val="left"/>
            </w:pPr>
            <w:r>
              <w:rPr>
                <w:rFonts w:ascii="Consolas" w:hAnsi="Consolas"/>
                <w:color w:val="1E293B"/>
                <w:sz w:val="18"/>
              </w:rPr>
              <w:t>sleep_deprivation_index</w:t>
            </w:r>
          </w:p>
        </w:tc>
        <w:tc>
          <w:tcPr>
            <w:tcW w:type="dxa" w:w="2340"/>
            <w:tcBorders>
              <w:top w:val="single" w:color="94A3B8" w:sz="4"/>
              <w:left w:val="none"/>
              <w:bottom w:val="single" w:color="94A3B8" w:sz="4"/>
              <w:right w:val="none"/>
            </w:tcBorders>
          </w:tcPr>
          <w:p>
            <w:pPr>
              <w:spacing w:after="40" w:before="40"/>
              <w:jc w:val="left"/>
            </w:pPr>
            <w:r>
              <w:rPr>
                <w:color w:val="1E293B"/>
                <w:sz w:val="18"/>
              </w:rPr>
              <w:t>Behavioural Deficit</w:t>
            </w:r>
          </w:p>
        </w:tc>
        <w:tc>
          <w:tcPr>
            <w:tcW w:type="dxa" w:w="2340"/>
            <w:tcBorders>
              <w:top w:val="single" w:color="94A3B8" w:sz="4"/>
              <w:left w:val="none"/>
              <w:bottom w:val="single" w:color="94A3B8" w:sz="4"/>
              <w:right w:val="none"/>
            </w:tcBorders>
          </w:tcPr>
          <w:p>
            <w:pPr>
              <w:spacing w:after="40" w:before="40"/>
              <w:jc w:val="left"/>
            </w:pPr>
            <w:r>
              <w:rPr>
                <w:color w:val="1E293B"/>
                <w:sz w:val="18"/>
              </w:rPr>
              <w:t>max(0, 8.0 - sleep_hours_numeric) * (4.0 - sleep_quality_score)</w:t>
            </w:r>
          </w:p>
        </w:tc>
        <w:tc>
          <w:tcPr>
            <w:tcW w:type="dxa" w:w="2340"/>
            <w:tcBorders>
              <w:top w:val="single" w:color="94A3B8" w:sz="4"/>
              <w:left w:val="none"/>
              <w:bottom w:val="single" w:color="94A3B8" w:sz="4"/>
              <w:right w:val="none"/>
            </w:tcBorders>
          </w:tcPr>
          <w:p>
            <w:pPr>
              <w:spacing w:after="40" w:before="40"/>
              <w:jc w:val="left"/>
            </w:pPr>
            <w:r>
              <w:rPr>
                <w:color w:val="1E293B"/>
                <w:sz w:val="18"/>
              </w:rPr>
              <w:t>Biological fatigue measure from low sleep hours and quality.</w:t>
            </w:r>
          </w:p>
        </w:tc>
      </w:tr>
      <w:tr>
        <w:tc>
          <w:tcPr>
            <w:tcW w:type="dxa" w:w="2340"/>
            <w:tcBorders>
              <w:top w:val="single" w:color="94A3B8" w:sz="4"/>
              <w:left w:val="none"/>
              <w:bottom w:val="single" w:color="94A3B8" w:sz="4"/>
              <w:right w:val="none"/>
            </w:tcBorders>
          </w:tcPr>
          <w:p>
            <w:pPr>
              <w:spacing w:after="40" w:before="40"/>
              <w:jc w:val="left"/>
            </w:pPr>
            <w:r>
              <w:rPr>
                <w:rFonts w:ascii="Consolas" w:hAnsi="Consolas"/>
                <w:color w:val="1E293B"/>
                <w:sz w:val="18"/>
              </w:rPr>
              <w:t>screen_to_sleep_ratio</w:t>
            </w:r>
          </w:p>
        </w:tc>
        <w:tc>
          <w:tcPr>
            <w:tcW w:type="dxa" w:w="2340"/>
            <w:tcBorders>
              <w:top w:val="single" w:color="94A3B8" w:sz="4"/>
              <w:left w:val="none"/>
              <w:bottom w:val="single" w:color="94A3B8" w:sz="4"/>
              <w:right w:val="none"/>
            </w:tcBorders>
          </w:tcPr>
          <w:p>
            <w:pPr>
              <w:spacing w:after="40" w:before="40"/>
              <w:jc w:val="left"/>
            </w:pPr>
            <w:r>
              <w:rPr>
                <w:color w:val="1E293B"/>
                <w:sz w:val="18"/>
              </w:rPr>
              <w:t>Digital Strain</w:t>
            </w:r>
          </w:p>
        </w:tc>
        <w:tc>
          <w:tcPr>
            <w:tcW w:type="dxa" w:w="2340"/>
            <w:tcBorders>
              <w:top w:val="single" w:color="94A3B8" w:sz="4"/>
              <w:left w:val="none"/>
              <w:bottom w:val="single" w:color="94A3B8" w:sz="4"/>
              <w:right w:val="none"/>
            </w:tcBorders>
          </w:tcPr>
          <w:p>
            <w:pPr>
              <w:spacing w:after="40" w:before="40"/>
              <w:jc w:val="left"/>
            </w:pPr>
            <w:r>
              <w:rPr>
                <w:color w:val="1E293B"/>
                <w:sz w:val="18"/>
              </w:rPr>
              <w:t>social_media_hours / (sleep_hours_numeric + 0.1)</w:t>
            </w:r>
          </w:p>
        </w:tc>
        <w:tc>
          <w:tcPr>
            <w:tcW w:type="dxa" w:w="2340"/>
            <w:tcBorders>
              <w:top w:val="single" w:color="94A3B8" w:sz="4"/>
              <w:left w:val="none"/>
              <w:bottom w:val="single" w:color="94A3B8" w:sz="4"/>
              <w:right w:val="none"/>
            </w:tcBorders>
          </w:tcPr>
          <w:p>
            <w:pPr>
              <w:spacing w:after="40" w:before="40"/>
              <w:jc w:val="left"/>
            </w:pPr>
            <w:r>
              <w:rPr>
                <w:color w:val="1E293B"/>
                <w:sz w:val="18"/>
              </w:rPr>
              <w:t>Digital displacement of restorative sleep hours [67].</w:t>
            </w:r>
          </w:p>
        </w:tc>
      </w:tr>
      <w:tr>
        <w:tc>
          <w:tcPr>
            <w:tcW w:type="dxa" w:w="2340"/>
            <w:tcBorders>
              <w:top w:val="single" w:color="94A3B8" w:sz="4"/>
              <w:left w:val="none"/>
              <w:bottom w:val="single" w:color="94A3B8" w:sz="4"/>
              <w:right w:val="none"/>
            </w:tcBorders>
          </w:tcPr>
          <w:p>
            <w:pPr>
              <w:spacing w:after="40" w:before="40"/>
              <w:jc w:val="left"/>
            </w:pPr>
            <w:r>
              <w:rPr>
                <w:rFonts w:ascii="Consolas" w:hAnsi="Consolas"/>
                <w:color w:val="1E293B"/>
                <w:sz w:val="18"/>
              </w:rPr>
              <w:t>study_to_rest_ratio</w:t>
            </w:r>
          </w:p>
        </w:tc>
        <w:tc>
          <w:tcPr>
            <w:tcW w:type="dxa" w:w="2340"/>
            <w:tcBorders>
              <w:top w:val="single" w:color="94A3B8" w:sz="4"/>
              <w:left w:val="none"/>
              <w:bottom w:val="single" w:color="94A3B8" w:sz="4"/>
              <w:right w:val="none"/>
            </w:tcBorders>
          </w:tcPr>
          <w:p>
            <w:pPr>
              <w:spacing w:after="40" w:before="40"/>
              <w:jc w:val="left"/>
            </w:pPr>
            <w:r>
              <w:rPr>
                <w:color w:val="1E293B"/>
                <w:sz w:val="18"/>
              </w:rPr>
              <w:t>Lifestyle Balance</w:t>
            </w:r>
          </w:p>
        </w:tc>
        <w:tc>
          <w:tcPr>
            <w:tcW w:type="dxa" w:w="2340"/>
            <w:tcBorders>
              <w:top w:val="single" w:color="94A3B8" w:sz="4"/>
              <w:left w:val="none"/>
              <w:bottom w:val="single" w:color="94A3B8" w:sz="4"/>
              <w:right w:val="none"/>
            </w:tcBorders>
          </w:tcPr>
          <w:p>
            <w:pPr>
              <w:spacing w:after="40" w:before="40"/>
              <w:jc w:val="left"/>
            </w:pPr>
            <w:r>
              <w:rPr>
                <w:color w:val="1E293B"/>
                <w:sz w:val="18"/>
              </w:rPr>
              <w:t>(study_hours_numeric + social_media_hours) / (sleep_hours_numeric + physical_activity_hours + 0.1)</w:t>
            </w:r>
          </w:p>
        </w:tc>
        <w:tc>
          <w:tcPr>
            <w:tcW w:type="dxa" w:w="2340"/>
            <w:tcBorders>
              <w:top w:val="single" w:color="94A3B8" w:sz="4"/>
              <w:left w:val="none"/>
              <w:bottom w:val="single" w:color="94A3B8" w:sz="4"/>
              <w:right w:val="none"/>
            </w:tcBorders>
          </w:tcPr>
          <w:p>
            <w:pPr>
              <w:spacing w:after="40" w:before="40"/>
              <w:jc w:val="left"/>
            </w:pPr>
            <w:r>
              <w:rPr>
                <w:color w:val="1E293B"/>
                <w:sz w:val="18"/>
              </w:rPr>
              <w:t>Assesses daily cognitive load in relation to restorative buffers.</w:t>
            </w:r>
          </w:p>
        </w:tc>
      </w:tr>
      <w:tr>
        <w:tc>
          <w:tcPr>
            <w:tcW w:type="dxa" w:w="2340"/>
            <w:tcBorders>
              <w:top w:val="single" w:color="94A3B8" w:sz="4"/>
              <w:left w:val="none"/>
              <w:bottom w:val="single" w:color="94A3B8" w:sz="4"/>
              <w:right w:val="none"/>
            </w:tcBorders>
          </w:tcPr>
          <w:p>
            <w:pPr>
              <w:spacing w:after="40" w:before="40"/>
              <w:jc w:val="left"/>
            </w:pPr>
            <w:r>
              <w:rPr>
                <w:rFonts w:ascii="Consolas" w:hAnsi="Consolas"/>
                <w:color w:val="1E293B"/>
                <w:sz w:val="18"/>
              </w:rPr>
              <w:t>academic_performance_index</w:t>
            </w:r>
          </w:p>
        </w:tc>
        <w:tc>
          <w:tcPr>
            <w:tcW w:type="dxa" w:w="2340"/>
            <w:tcBorders>
              <w:top w:val="single" w:color="94A3B8" w:sz="4"/>
              <w:left w:val="none"/>
              <w:bottom w:val="single" w:color="94A3B8" w:sz="4"/>
              <w:right w:val="none"/>
            </w:tcBorders>
          </w:tcPr>
          <w:p>
            <w:pPr>
              <w:spacing w:after="40" w:before="40"/>
              <w:jc w:val="left"/>
            </w:pPr>
            <w:r>
              <w:rPr>
                <w:color w:val="1E293B"/>
                <w:sz w:val="18"/>
              </w:rPr>
              <w:t>Academic Standing</w:t>
            </w:r>
          </w:p>
        </w:tc>
        <w:tc>
          <w:tcPr>
            <w:tcW w:type="dxa" w:w="2340"/>
            <w:tcBorders>
              <w:top w:val="single" w:color="94A3B8" w:sz="4"/>
              <w:left w:val="none"/>
              <w:bottom w:val="single" w:color="94A3B8" w:sz="4"/>
              <w:right w:val="none"/>
            </w:tcBorders>
          </w:tcPr>
          <w:p>
            <w:pPr>
              <w:spacing w:after="40" w:before="40"/>
              <w:jc w:val="left"/>
            </w:pPr>
            <w:r>
              <w:rPr>
                <w:color w:val="1E293B"/>
                <w:sz w:val="18"/>
              </w:rPr>
              <w:t>(cgpa_midpoint / 4.0) * (attendance_pct / 100.0)</w:t>
            </w:r>
          </w:p>
        </w:tc>
        <w:tc>
          <w:tcPr>
            <w:tcW w:type="dxa" w:w="2340"/>
            <w:tcBorders>
              <w:top w:val="single" w:color="94A3B8" w:sz="4"/>
              <w:left w:val="none"/>
              <w:bottom w:val="single" w:color="94A3B8" w:sz="4"/>
              <w:right w:val="none"/>
            </w:tcBorders>
          </w:tcPr>
          <w:p>
            <w:pPr>
              <w:spacing w:after="40" w:before="40"/>
              <w:jc w:val="left"/>
            </w:pPr>
            <w:r>
              <w:rPr>
                <w:color w:val="1E293B"/>
                <w:sz w:val="18"/>
              </w:rPr>
              <w:t>Controls for academic achievement by classroom engagement.</w:t>
            </w:r>
          </w:p>
        </w:tc>
      </w:tr>
      <w:tr>
        <w:tc>
          <w:tcPr>
            <w:tcW w:type="dxa" w:w="2340"/>
            <w:tcBorders>
              <w:top w:val="single" w:color="94A3B8" w:sz="4"/>
              <w:left w:val="none"/>
              <w:bottom w:val="single" w:color="94A3B8" w:sz="4"/>
              <w:right w:val="none"/>
            </w:tcBorders>
          </w:tcPr>
          <w:p>
            <w:pPr>
              <w:spacing w:after="40" w:before="40"/>
              <w:jc w:val="left"/>
            </w:pPr>
            <w:r>
              <w:rPr>
                <w:rFonts w:ascii="Consolas" w:hAnsi="Consolas"/>
                <w:color w:val="1E293B"/>
                <w:sz w:val="18"/>
              </w:rPr>
              <w:t>motivation_deficit_score</w:t>
            </w:r>
          </w:p>
        </w:tc>
        <w:tc>
          <w:tcPr>
            <w:tcW w:type="dxa" w:w="2340"/>
            <w:tcBorders>
              <w:top w:val="single" w:color="94A3B8" w:sz="4"/>
              <w:left w:val="none"/>
              <w:bottom w:val="single" w:color="94A3B8" w:sz="4"/>
              <w:right w:val="none"/>
            </w:tcBorders>
          </w:tcPr>
          <w:p>
            <w:pPr>
              <w:spacing w:after="40" w:before="40"/>
              <w:jc w:val="left"/>
            </w:pPr>
            <w:r>
              <w:rPr>
                <w:color w:val="1E293B"/>
                <w:sz w:val="18"/>
              </w:rPr>
              <w:t>Motivational Strain</w:t>
            </w:r>
          </w:p>
        </w:tc>
        <w:tc>
          <w:tcPr>
            <w:tcW w:type="dxa" w:w="2340"/>
            <w:tcBorders>
              <w:top w:val="single" w:color="94A3B8" w:sz="4"/>
              <w:left w:val="none"/>
              <w:bottom w:val="single" w:color="94A3B8" w:sz="4"/>
              <w:right w:val="none"/>
            </w:tcBorders>
          </w:tcPr>
          <w:p>
            <w:pPr>
              <w:spacing w:after="40" w:before="40"/>
              <w:jc w:val="left"/>
            </w:pPr>
            <w:r>
              <w:rPr>
                <w:color w:val="1E293B"/>
                <w:sz w:val="18"/>
              </w:rPr>
              <w:t>(4.0 - motivation_score) * stress_score</w:t>
            </w:r>
          </w:p>
        </w:tc>
        <w:tc>
          <w:tcPr>
            <w:tcW w:type="dxa" w:w="2340"/>
            <w:tcBorders>
              <w:top w:val="single" w:color="94A3B8" w:sz="4"/>
              <w:left w:val="none"/>
              <w:bottom w:val="single" w:color="94A3B8" w:sz="4"/>
              <w:right w:val="none"/>
            </w:tcBorders>
          </w:tcPr>
          <w:p>
            <w:pPr>
              <w:spacing w:after="40" w:before="40"/>
              <w:jc w:val="left"/>
            </w:pPr>
            <w:r>
              <w:rPr>
                <w:color w:val="1E293B"/>
                <w:sz w:val="18"/>
              </w:rPr>
              <w:t>Quantifies the reduction in motivation due to high stress [36].</w:t>
            </w:r>
          </w:p>
        </w:tc>
      </w:tr>
      <w:tr>
        <w:tc>
          <w:tcPr>
            <w:tcW w:type="dxa" w:w="2340"/>
            <w:tcBorders>
              <w:top w:val="single" w:color="94A3B8" w:sz="4"/>
              <w:left w:val="none"/>
              <w:bottom w:val="single" w:color="94A3B8" w:sz="4"/>
              <w:right w:val="none"/>
            </w:tcBorders>
          </w:tcPr>
          <w:p>
            <w:pPr>
              <w:spacing w:after="40" w:before="40"/>
              <w:jc w:val="left"/>
            </w:pPr>
            <w:r>
              <w:rPr>
                <w:rFonts w:ascii="Consolas" w:hAnsi="Consolas"/>
                <w:color w:val="1E293B"/>
                <w:sz w:val="18"/>
              </w:rPr>
              <w:t>wellbeing_buffer</w:t>
            </w:r>
          </w:p>
        </w:tc>
        <w:tc>
          <w:tcPr>
            <w:tcW w:type="dxa" w:w="2340"/>
            <w:tcBorders>
              <w:top w:val="single" w:color="94A3B8" w:sz="4"/>
              <w:left w:val="none"/>
              <w:bottom w:val="single" w:color="94A3B8" w:sz="4"/>
              <w:right w:val="none"/>
            </w:tcBorders>
          </w:tcPr>
          <w:p>
            <w:pPr>
              <w:spacing w:after="40" w:before="40"/>
              <w:jc w:val="left"/>
            </w:pPr>
            <w:r>
              <w:rPr>
                <w:color w:val="1E293B"/>
                <w:sz w:val="18"/>
              </w:rPr>
              <w:t>Protective Reserve</w:t>
            </w:r>
          </w:p>
        </w:tc>
        <w:tc>
          <w:tcPr>
            <w:tcW w:type="dxa" w:w="2340"/>
            <w:tcBorders>
              <w:top w:val="single" w:color="94A3B8" w:sz="4"/>
              <w:left w:val="none"/>
              <w:bottom w:val="single" w:color="94A3B8" w:sz="4"/>
              <w:right w:val="none"/>
            </w:tcBorders>
          </w:tcPr>
          <w:p>
            <w:pPr>
              <w:spacing w:after="40" w:before="40"/>
              <w:jc w:val="left"/>
            </w:pPr>
            <w:r>
              <w:rPr>
                <w:color w:val="1E293B"/>
                <w:sz w:val="18"/>
              </w:rPr>
              <w:t>(physical_activity_hours + sleep_quality_score) - stress_score</w:t>
            </w:r>
          </w:p>
        </w:tc>
        <w:tc>
          <w:tcPr>
            <w:tcW w:type="dxa" w:w="2340"/>
            <w:tcBorders>
              <w:top w:val="single" w:color="94A3B8" w:sz="4"/>
              <w:left w:val="none"/>
              <w:bottom w:val="single" w:color="94A3B8" w:sz="4"/>
              <w:right w:val="none"/>
            </w:tcBorders>
          </w:tcPr>
          <w:p>
            <w:pPr>
              <w:spacing w:after="40" w:before="40"/>
              <w:jc w:val="left"/>
            </w:pPr>
            <w:r>
              <w:rPr>
                <w:color w:val="1E293B"/>
                <w:sz w:val="18"/>
              </w:rPr>
              <w:t>Represents net behavioural coping capacity against psychological demands [34].</w:t>
            </w:r>
          </w:p>
        </w:tc>
      </w:tr>
    </w:tbl>
    <w:p w:rsidR="00A43BB6" w:rsidRDefault="00A43BB6">
      <w:pPr>
        <w:spacing w:after="120"/>
      </w:pPr>
    </w:p>
    <w:p w:rsidR="00A43BB6" w:rsidRDefault="0044650C">
      <w:pPr>
        <w:pStyle w:val="Heading3"/>
        <w:spacing w:after="60"/>
      </w:pPr>
      <w:r>
        <w:rPr>
          <w:color w:val="047857"/>
        </w:rPr>
        <w:t>3.6 Machine Learning and Ensemble Pipeline Architecture</w:t>
      </w:r>
    </w:p>
    <w:p w:rsidR="00BE2E04" w:rsidRPr="00BE2E04" w:rsidRDefault="00BE2E04" w:rsidP="00BE2E04">
      <w:pPr>
        <w:spacing w:after="0" w:line="240" w:lineRule="auto"/>
        <w:rPr>
          <w:rFonts w:ascii="Times New Roman" w:eastAsia="Times New Roman" w:hAnsi="Times New Roman" w:cs="Times New Roman"/>
          <w:sz w:val="24"/>
          <w:szCs w:val="24"/>
          <w:lang w:val="en-GB" w:eastAsia="en-GB" w:bidi="bn-BD"/>
        </w:rPr>
      </w:pPr>
      <w:r w:rsidRPr="00BE2E04">
        <w:rPr>
          <w:rFonts w:ascii="Times New Roman" w:eastAsia="Times New Roman" w:hAnsi="Times New Roman" w:cs="Times New Roman"/>
          <w:sz w:val="24"/>
          <w:szCs w:val="24"/>
          <w:lang w:val="en-GB" w:eastAsia="en-GB" w:bidi="bn-BD"/>
        </w:rPr>
        <w:t xml:space="preserve">As follows, ten supervised classification algorithms and a Soft Voting Ensemble were compared to classical statistical modelling frameworks [108] of flexible non-linear machine learning: </w:t>
      </w:r>
      <w:r w:rsidRPr="00BE2E04">
        <w:rPr>
          <w:rFonts w:ascii="Times New Roman" w:eastAsia="Times New Roman" w:hAnsi="Times New Roman" w:cs="Times New Roman"/>
          <w:sz w:val="24"/>
          <w:szCs w:val="24"/>
          <w:lang w:val="en-GB" w:eastAsia="en-GB" w:bidi="bn-BD"/>
        </w:rPr>
        <w:br/>
        <w:t xml:space="preserve">1) Linear Baseline: Logistic Regression (max_iter = 1000, random_state = 42, C = 1.0). </w:t>
      </w:r>
      <w:r w:rsidRPr="00BE2E04">
        <w:rPr>
          <w:rFonts w:ascii="Times New Roman" w:eastAsia="Times New Roman" w:hAnsi="Times New Roman" w:cs="Times New Roman"/>
          <w:sz w:val="24"/>
          <w:szCs w:val="24"/>
          <w:lang w:val="en-GB" w:eastAsia="en-GB" w:bidi="bn-BD"/>
        </w:rPr>
        <w:br/>
        <w:t xml:space="preserve">2. Tree based Ensemble Decision Tree (max_depth=4) Random Forest (n_estimators=150, max_depth=8) Extra Trees (n_estimators=100, max_depth=8) </w:t>
      </w:r>
      <w:r w:rsidRPr="00BE2E04">
        <w:rPr>
          <w:rFonts w:ascii="Times New Roman" w:eastAsia="Times New Roman" w:hAnsi="Times New Roman" w:cs="Times New Roman"/>
          <w:sz w:val="24"/>
          <w:szCs w:val="24"/>
          <w:lang w:val="en-GB" w:eastAsia="en-GB" w:bidi="bn-BD"/>
        </w:rPr>
        <w:br/>
        <w:t xml:space="preserve">3. Gradient Boosting Frameworks. Gradient Boosting (n_estimators=100, learning_rate=0.1), XGBoost (n_estimators=100, learning_rate=0.3, max_depth=6), LightGBM (n_estimators=100, learning_rate=0.1), CatBoost (iterations=150, learning_rate=0.08). </w:t>
      </w:r>
      <w:r w:rsidRPr="00BE2E04">
        <w:rPr>
          <w:rFonts w:ascii="Times New Roman" w:eastAsia="Times New Roman" w:hAnsi="Times New Roman" w:cs="Times New Roman"/>
          <w:sz w:val="24"/>
          <w:szCs w:val="24"/>
          <w:lang w:val="en-GB" w:eastAsia="en-GB" w:bidi="bn-BD"/>
        </w:rPr>
        <w:br/>
        <w:t xml:space="preserve">4. Support Vector &amp; Neural Architectures Support Vector Machine (`kernel='rbf', C=1.0, probability=True`) Multi-layer Perceptron (`hidden_layer_sizes=(64, 32), max_iter=300` </w:t>
      </w:r>
      <w:r w:rsidRPr="00BE2E04">
        <w:rPr>
          <w:rFonts w:ascii="Times New Roman" w:eastAsia="Times New Roman" w:hAnsi="Times New Roman" w:cs="Times New Roman"/>
          <w:sz w:val="24"/>
          <w:szCs w:val="24"/>
          <w:lang w:val="en-GB" w:eastAsia="en-GB" w:bidi="bn-BD"/>
        </w:rPr>
        <w:br/>
        <w:t xml:space="preserve">5. Soft Voting Ensemble: The average of the predicted probabilities of Random Forest, Gradient Boosting, LightGBM, Logistic Regression and CatBoost. </w:t>
      </w:r>
      <w:r w:rsidRPr="00BE2E04">
        <w:rPr>
          <w:rFonts w:ascii="Times New Roman" w:eastAsia="Times New Roman" w:hAnsi="Times New Roman" w:cs="Times New Roman"/>
          <w:sz w:val="24"/>
          <w:szCs w:val="24"/>
          <w:lang w:val="en-GB" w:eastAsia="en-GB" w:bidi="bn-BD"/>
        </w:rPr>
        <w:br/>
        <w:t xml:space="preserve">For all numerical features we used StandardScaler and for categorical variables OneHotEncoder(drop='first') in leak-free cross-validation pipelines. We employed a 10-fold outer / 5-fold inner Nested Cross-Validation protocol (`GridSearchCV` inner loop tuning `n_estimators`, `max_depth` and `min_samples_split`) on the top classifiers to assess hyperparameter sensitivity and remove arbitrary hyperparameter selection bias. The entire analytical process is shown in Fig. 1. </w:t>
      </w:r>
      <w:r w:rsidRPr="00BE2E04">
        <w:rPr>
          <w:rFonts w:ascii="Times New Roman" w:eastAsia="Times New Roman" w:hAnsi="Times New Roman" w:cs="Times New Roman"/>
          <w:sz w:val="24"/>
          <w:szCs w:val="24"/>
          <w:lang w:val="en-GB" w:eastAsia="en-GB" w:bidi="bn-BD"/>
        </w:rPr>
        <w:br/>
        <w:t>Figure 1: ML pipeline end-to-end methodology and architecture</w:t>
      </w:r>
    </w:p>
    <w:p w:rsidR="00A43BB6" w:rsidRDefault="0044650C">
      <w:pPr>
        <w:spacing w:before="240" w:after="80"/>
        <w:jc w:val="center"/>
      </w:pPr>
      <w:r>
        <w:rPr>
          <w:noProof/>
          <w:lang w:val="en-GB" w:eastAsia="en-GB" w:bidi="bn-BD"/>
        </w:rPr>
        <w:lastRenderedPageBreak/>
        <w:drawing>
          <wp:inline distT="0" distB="0" distL="0" distR="0">
            <wp:extent cx="5303520" cy="530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png"/>
                    <pic:cNvPicPr/>
                  </pic:nvPicPr>
                  <pic:blipFill>
                    <a:blip r:embed="rId6"/>
                    <a:stretch>
                      <a:fillRect/>
                    </a:stretch>
                  </pic:blipFill>
                  <pic:spPr>
                    <a:xfrm>
                      <a:off x="0" y="0"/>
                      <a:ext cx="5303520" cy="5303520"/>
                    </a:xfrm>
                    <a:prstGeom prst="rect">
                      <a:avLst/>
                    </a:prstGeom>
                  </pic:spPr>
                </pic:pic>
              </a:graphicData>
            </a:graphic>
          </wp:inline>
        </w:drawing>
      </w:r>
    </w:p>
    <w:p w:rsidR="00A43BB6" w:rsidRDefault="0044650C">
      <w:pPr>
        <w:spacing w:after="280"/>
        <w:jc w:val="center"/>
      </w:pPr>
      <w:r>
        <w:rPr>
          <w:color w:val="475569"/>
          <w:sz w:val="19"/>
        </w:rPr>
        <w:t>Figure 1: End-to-End Methodology and Machine Learning Pipeline Architecture</w:t>
      </w:r>
    </w:p>
    <w:p w:rsidR="00A43BB6" w:rsidRDefault="0044650C">
      <w:pPr>
        <w:spacing w:after="80"/>
      </w:pPr>
      <w:r>
        <w:t>Figure 1. End-to-End Methodology and Machine Learning Pipeline Architecture showing data collection, preprocessing, feature engineering, 10-fold CV ensemble training, and XAI evaluation.</w:t>
      </w:r>
    </w:p>
    <w:p>
      <w:pPr>
        <w:pStyle w:val="Heading3"/>
        <w:spacing w:after="60"/>
      </w:pPr>
      <w:r>
        <w:rPr>
          <w:color w:val="047857"/>
        </w:rPr>
        <w:t xml:space="preserve">3.7 Explainable AI (XAI) Protocol</w:t>
      </w:r>
    </w:p>
    <w:p>
      <w:pPr>
        <w:spacing w:after="0" w:line="240" w:lineRule="auto"/>
      </w:pPr>
      <w:r>
        <w:rPr>
          <w:rFonts w:ascii="Times New Roman" w:eastAsia="Times New Roman" w:hAnsi="Times New Roman" w:cs="Times New Roman"/>
          <w:sz w:val="24"/>
          <w:szCs w:val="24"/>
          <w:lang w:val="en-GB" w:eastAsia="en-GB" w:bidi="bn-BD"/>
        </w:rPr>
        <w:t xml:space="preserve">Model predictions of the leading Random Forest model were explained using SHapley Additive exPlanations (SHAP) [24]. Mean absolute SHAP values over all instances were used to quantify global feature importance. We evaluated stability by comparing SHAP rank orders between full-dataset refit and out-of-fold estimates from fold-by-fold cross-validation, resulting in near-perfect agreement (Spearman rank correlation $\rho = 0.9856, p &lt; .001$).</w:t>
      </w:r>
    </w:p>
    <w:p>
      <w:pPr>
        <w:pStyle w:val="Heading3"/>
        <w:spacing w:after="60"/>
      </w:pPr>
      <w:r>
        <w:rPr>
          <w:color w:val="047857"/>
        </w:rPr>
        <w:t xml:space="preserve">3.8 Qualitative Thematic Analysis and Inter-Rater Reliability</w:t>
      </w:r>
    </w:p>
    <w:p>
      <w:pPr>
        <w:spacing w:after="0" w:line="240" w:lineRule="auto"/>
      </w:pPr>
      <w:r>
        <w:rPr>
          <w:rFonts w:ascii="Times New Roman" w:eastAsia="Times New Roman" w:hAnsi="Times New Roman" w:cs="Times New Roman"/>
          <w:sz w:val="24"/>
          <w:szCs w:val="24"/>
          <w:lang w:val="en-GB" w:eastAsia="en-GB" w:bidi="bn-BD"/>
        </w:rPr>
        <w:t xml:space="preserve">The interview transcripts were analysed using the six-phase framework for reflexive thematic analysis, as described by Braun and Clarke [92, 98]. Before viewing quantitative ML feature rankings, initial open coding was performed to preserve qualitative independence. A second bilingual educational researcher blind to quantitative model outputs independently re-coded a random sub-sample of transcripts ($n = 5$, balanced across burnout strata) to establish coding reliability. The raw agreement for the 180 textual meaning-units examined was 86.67% (156 of 180 units were coded under identical thematic nodes) with substantial inter-rater reliability (Cohen’s $\kappa$ = 0.82, 95% CI [0.74, 0.90]; Landis &amp; Koch, 1977 [120]). Disagreements were resolved by consensus discussion. Once both strands were complete, a formal triangulation matrix was employed to map SHAP predictors directly to emergent qualitative themes [99].</w:t>
      </w:r>
    </w:p>
    <w:p>
      <w:pPr>
        <w:pStyle w:val="Heading2"/>
        <w:spacing w:before="240" w:after="80"/>
      </w:pPr>
      <w:r>
        <w:rPr>
          <w:color w:val="1E3A8A"/>
        </w:rPr>
        <w:t xml:space="preserve">4. Data Analysis</w:t>
      </w:r>
    </w:p>
    <w:p>
      <w:pPr>
        <w:spacing w:after="0" w:line="240" w:lineRule="auto"/>
      </w:pPr>
      <w:r>
        <w:rPr>
          <w:rFonts w:ascii="Times New Roman" w:eastAsia="Times New Roman" w:hAnsi="Times New Roman" w:cs="Times New Roman"/>
          <w:sz w:val="24"/>
          <w:szCs w:val="24"/>
          <w:lang w:val="en-GB" w:eastAsia="en-GB" w:bidi="bn-BD"/>
        </w:rPr>
        <w:t xml:space="preserve">Before the formal statistical hypothesis testing and predictive modelling were performed, an extensive Exploratory Data Analysis (EDA) was conducted on the primary dataset (N = 601) to assess the data quality, to describe the demographic and behavioural distributions, and to identify the underlying structural patterns [100].</w:t>
      </w:r>
    </w:p>
    <w:p>
      <w:pPr>
        <w:pStyle w:val="Heading3"/>
        <w:spacing w:after="60"/>
      </w:pPr>
      <w:r>
        <w:rPr>
          <w:color w:val="047857"/>
        </w:rPr>
        <w:t xml:space="preserve">4.1 Population Profile</w:t>
      </w:r>
    </w:p>
    <w:p>
      <w:pPr>
        <w:spacing w:after="0" w:line="240" w:lineRule="auto"/>
      </w:pPr>
      <w:r>
        <w:rPr>
          <w:rFonts w:ascii="Times New Roman" w:eastAsia="Times New Roman" w:hAnsi="Times New Roman" w:cs="Times New Roman"/>
          <w:sz w:val="24"/>
          <w:szCs w:val="24"/>
          <w:lang w:val="en-GB" w:eastAsia="en-GB" w:bidi="bn-BD"/>
        </w:rPr>
        <w:t xml:space="preserve">The demographic characteristics of the sample are similar to a cross section of Bangladeshi university students. The cohort had a slightly higher prevalence of males than females (n = 344; 57.24% vs n = 257; 42.76%). The age ranges were within the traditional university age groups, with the majority of students being 19–20 years of age (n = 150; 24.96%), followed by 21–22 years (n = 144; 23.96%), 23–24 years (n = 137; 22.80%), mature students 25 years and above (n = 114; 18.97%), with the youngest age group being 17–18 years (n = 56; 9.32%). Most were in the Bachelor’s Degree programs (n = 416; 69.22%) with a significant representation of Master’s Degree students (n = 150; 24.96%), Ph.D. students (n = 27; 4.49%) and Diploma/Associate Degree students (n = 8; 1.33%). In terms of academic years, the sample covered all years: 1st Year (n = 225; 37.44%), 2nd Year (n = 175; 29.12%), Final Year (n = 102; 16.97%) and 3rd Year (n = 99; 16.47%).</w:t>
      </w:r>
    </w:p>
    <w:p>
      <w:pPr>
        <w:pStyle w:val="Heading3"/>
        <w:spacing w:after="60"/>
      </w:pPr>
      <w:r>
        <w:rPr>
          <w:color w:val="047857"/>
        </w:rPr>
        <w:t xml:space="preserve">4.2 Distributions of Psychometric and Behavioural</w:t>
      </w:r>
    </w:p>
    <w:p>
      <w:pPr>
        <w:spacing w:after="0" w:line="240" w:lineRule="auto"/>
      </w:pPr>
      <w:r>
        <w:rPr>
          <w:rFonts w:ascii="Times New Roman" w:eastAsia="Times New Roman" w:hAnsi="Times New Roman" w:cs="Times New Roman"/>
          <w:sz w:val="24"/>
          <w:szCs w:val="24"/>
          <w:lang w:val="en-GB" w:eastAsia="en-GB" w:bidi="bn-BD"/>
        </w:rPr>
        <w:t xml:space="preserve">Analysis of continuous behavioural metrics showed that a student population was under significant systemic demands. The average daily self-reported study time was 2.91 hours (SD = 2.01). However, this was coupled with an average sleep duration of 6.34 hours (SD = 1.74), which is critically below the 7-9 hours recommended for optimal cognitive functioning in young adults [101]. Interestingly, social media use was reported to be 3.49 hours (SD = 2.65) per day, more than the amount of dedicated study time for a large proportion of the cohort. Standardised psychometric indicators on a 1-4 scale showed that the population was experiencing a high level of psychological distress. The mean self-reported stress score was high, 2.54 (SD = 1.10) and the mean depression score was 2.52 (SD = 1.12). In contrast, motivation scores were lower (1.93, SD = 0.80) on average indicating a general disengagement from academics.</w:t>
      </w:r>
    </w:p>
    <w:p>
      <w:pPr>
        <w:pStyle w:val="Heading3"/>
        <w:spacing w:after="60"/>
      </w:pPr>
      <w:r>
        <w:rPr>
          <w:color w:val="047857"/>
        </w:rPr>
        <w:t xml:space="preserve">4.3.1 Target Variable Analysis (Burnout Level)</w:t>
      </w:r>
    </w:p>
    <w:p>
      <w:pPr>
        <w:spacing w:after="0" w:line="240" w:lineRule="auto"/>
      </w:pPr>
      <w:r>
        <w:rPr>
          <w:rFonts w:ascii="Times New Roman" w:eastAsia="Times New Roman" w:hAnsi="Times New Roman" w:cs="Times New Roman"/>
          <w:sz w:val="24"/>
          <w:szCs w:val="24"/>
          <w:lang w:val="en-GB" w:eastAsia="en-GB" w:bidi="bn-BD"/>
        </w:rPr>
        <w:t xml:space="preserve">The distribution of the dependent variable, burnout_score (severity from 1 to 3), was negatively skewed (left-skewed) which is typical of epidemiological data obtained in high-pressure educational environments . The frequencies monotonically increased toward the higher end of the severity spectrum (Score 1: n = 117; Score 2: n = 229; Score 3: n = 255). The modal category was High Burnout (Score = 3) with the tail extending leftward toward the under-represented Low Burnout category, confirming a negative skew. Most students reported experiencing “High” burnout (Severity Level 3: n = 255; 42.43%). Burnout in the “Medium” category (Severity Level 2) was reported by 38.10% (n = 229) of the cohort, while only 19.47% (n = 117) was in the “Low” burnout category (Severity Level 1). The sharp negative skew that over 80% of the surveyed cohort experiences moderate to severe academic exhaustion is consistent with recent literature documenting rising mental health crises within South Asian university systems [10]. This natural class imbalance presents a computational challenge for subsequent machine learning tasks [95], requiring the binarization of the target variable to correctly isolate the “High Burnout” cohort without threshold dilution. Figure 2. Distribution of Student Burnout Levels</w:t>
      </w:r>
    </w:p>
    <w:p w:rsidR="00A43BB6" w:rsidRDefault="00A43BB6">
      <w:pPr>
        <w:spacing w:after="80"/>
      </w:pPr>
    </w:p>
    <w:p w:rsidR="00A43BB6" w:rsidRDefault="0044650C">
      <w:pPr>
        <w:spacing w:before="240" w:after="80"/>
        <w:jc w:val="center"/>
      </w:pPr>
      <w:r>
        <w:rPr>
          <w:noProof/>
          <w:lang w:val="en-GB" w:eastAsia="en-GB" w:bidi="bn-BD"/>
        </w:rPr>
        <w:drawing>
          <wp:inline distT="0" distB="0" distL="0" distR="0">
            <wp:extent cx="5303520" cy="4095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Distribution.png"/>
                    <pic:cNvPicPr/>
                  </pic:nvPicPr>
                  <pic:blipFill>
                    <a:blip r:embed="rId7"/>
                    <a:stretch>
                      <a:fillRect/>
                    </a:stretch>
                  </pic:blipFill>
                  <pic:spPr>
                    <a:xfrm>
                      <a:off x="0" y="0"/>
                      <a:ext cx="5303520" cy="4095788"/>
                    </a:xfrm>
                    <a:prstGeom prst="rect">
                      <a:avLst/>
                    </a:prstGeom>
                  </pic:spPr>
                </pic:pic>
              </a:graphicData>
            </a:graphic>
          </wp:inline>
        </w:drawing>
      </w:r>
    </w:p>
    <w:p w:rsidR="00A43BB6" w:rsidRDefault="0044650C">
      <w:pPr>
        <w:spacing w:after="280"/>
        <w:jc w:val="center"/>
      </w:pPr>
      <w:r>
        <w:rPr>
          <w:color w:val="475569"/>
          <w:sz w:val="19"/>
        </w:rPr>
        <w:t>Figure 2: Distribution of Student Burnout Levels</w:t>
      </w:r>
    </w:p>
    <w:p w:rsidR="00BE2E04" w:rsidRPr="00BE2E04" w:rsidRDefault="00BE2E04" w:rsidP="00BE2E04">
      <w:pPr>
        <w:spacing w:after="0" w:line="240" w:lineRule="auto"/>
        <w:rPr>
          <w:rFonts w:ascii="Times New Roman" w:eastAsia="Times New Roman" w:hAnsi="Times New Roman" w:cs="Times New Roman"/>
          <w:sz w:val="24"/>
          <w:szCs w:val="24"/>
          <w:lang w:val="en-GB" w:eastAsia="en-GB" w:bidi="bn-BD"/>
        </w:rPr>
      </w:pPr>
      <w:r w:rsidRPr="00BE2E04">
        <w:rPr>
          <w:rFonts w:ascii="Times New Roman" w:eastAsia="Times New Roman" w:hAnsi="Times New Roman" w:cs="Times New Roman"/>
          <w:sz w:val="24"/>
          <w:szCs w:val="24"/>
          <w:lang w:val="en-GB" w:eastAsia="en-GB" w:bidi="bn-BD"/>
        </w:rPr>
        <w:t xml:space="preserve">Figure 2. Levels of severity of student burnout in the primary data set (N = 601). The largest category was High Burnout (Severity Level 3) (42.43%, n = 255). 80.53% students reported moderate-to-severe burnout indicating the scale of the mental health challenge in Bangladeshi higher education. The negatively skewed distribution (modal category = High Burnout; tail extending toward Low Burnout) prompted binary dichotomisation (High vs. Low/Medium) for ML classification. </w:t>
      </w:r>
      <w:r w:rsidRPr="00BE2E04">
        <w:rPr>
          <w:rFonts w:ascii="Times New Roman" w:eastAsia="Times New Roman" w:hAnsi="Times New Roman" w:cs="Times New Roman"/>
          <w:sz w:val="24"/>
          <w:szCs w:val="24"/>
          <w:lang w:val="en-GB" w:eastAsia="en-GB" w:bidi="bn-BD"/>
        </w:rPr>
        <w:br/>
        <w:t>Figure 3: Distribution of Burnout Severity within Gender Groups</w:t>
      </w:r>
    </w:p>
    <w:p w:rsidR="00A43BB6" w:rsidRDefault="0044650C">
      <w:pPr>
        <w:spacing w:before="240" w:after="80"/>
        <w:jc w:val="center"/>
      </w:pPr>
      <w:r>
        <w:rPr>
          <w:noProof/>
          <w:lang w:val="en-GB" w:eastAsia="en-GB" w:bidi="bn-BD"/>
        </w:rPr>
        <w:lastRenderedPageBreak/>
        <w:drawing>
          <wp:inline distT="0" distB="0" distL="0" distR="0">
            <wp:extent cx="5303520" cy="33901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Gender.png"/>
                    <pic:cNvPicPr/>
                  </pic:nvPicPr>
                  <pic:blipFill>
                    <a:blip r:embed="rId8"/>
                    <a:stretch>
                      <a:fillRect/>
                    </a:stretch>
                  </pic:blipFill>
                  <pic:spPr>
                    <a:xfrm>
                      <a:off x="0" y="0"/>
                      <a:ext cx="5303520" cy="3390187"/>
                    </a:xfrm>
                    <a:prstGeom prst="rect">
                      <a:avLst/>
                    </a:prstGeom>
                  </pic:spPr>
                </pic:pic>
              </a:graphicData>
            </a:graphic>
          </wp:inline>
        </w:drawing>
      </w:r>
    </w:p>
    <w:p w:rsidR="00A43BB6" w:rsidRDefault="0044650C">
      <w:pPr>
        <w:spacing w:after="280"/>
        <w:jc w:val="center"/>
      </w:pPr>
      <w:r>
        <w:rPr>
          <w:color w:val="475569"/>
          <w:sz w:val="19"/>
        </w:rPr>
        <w:t>Figure 3: Burnout Severity Distribution Across Gender Brackets</w:t>
      </w:r>
    </w:p>
    <w:p>
      <w:pPr>
        <w:spacing w:after="0" w:line="240" w:lineRule="auto"/>
      </w:pPr>
      <w:r>
        <w:rPr>
          <w:rFonts w:ascii="Times New Roman" w:eastAsia="Times New Roman" w:hAnsi="Times New Roman" w:cs="Times New Roman"/>
          <w:sz w:val="24"/>
          <w:szCs w:val="24"/>
          <w:lang w:val="en-GB" w:eastAsia="en-GB" w:bidi="bn-BD"/>
        </w:rPr>
        <w:t xml:space="preserve">Figure 3. Distribution of burnout severity for male and female student cohorts (N = 344 male, 257 female). There was no gender difference in the severity of burnout (χ2 (2) = 2.426, p = .297, Cramer’s V = .063), suggesting behavioural and psychological demands of CGPA pressure, screen time, and sleep deprivation as the main contributors to burnout risk in this cohort rather than gender-specific biological or social vulnerability.</w:t>
      </w:r>
    </w:p>
    <w:p>
      <w:pPr>
        <w:pStyle w:val="Heading3"/>
        <w:spacing w:after="60"/>
      </w:pPr>
      <w:r>
        <w:rPr>
          <w:color w:val="047857"/>
        </w:rPr>
        <w:t xml:space="preserve">4.4 Initial Correlational Observations</w:t>
      </w:r>
    </w:p>
    <w:p>
      <w:pPr>
        <w:spacing w:after="0" w:line="240" w:lineRule="auto"/>
      </w:pPr>
      <w:r>
        <w:rPr>
          <w:rFonts w:ascii="Times New Roman" w:eastAsia="Times New Roman" w:hAnsi="Times New Roman" w:cs="Times New Roman"/>
          <w:sz w:val="24"/>
          <w:szCs w:val="24"/>
          <w:lang w:val="en-GB" w:eastAsia="en-GB" w:bidi="bn-BD"/>
        </w:rPr>
        <w:t xml:space="preserve">An initial visual inspection of continuous variable pairs suggested several theoretically plausible relationships expected to exist within the Job Demands-Resources (JD-R) framework. For example, increased self-reported stress was associated with increased depression scores and social media use, which may be a digital coping mechanism for academic stress. In the next chapter of Statistical Analysis the “specific bivariate relationships” are formally quantified and rigorously tested.</w:t>
      </w:r>
    </w:p>
    <w:p>
      <w:pPr>
        <w:pStyle w:val="Heading2"/>
        <w:spacing w:before="240" w:after="80"/>
      </w:pPr>
      <w:r>
        <w:rPr>
          <w:color w:val="1E3A8A"/>
        </w:rPr>
        <w:t xml:space="preserve">5. Statistical Analysis (Inferential)</w:t>
      </w:r>
    </w:p>
    <w:p>
      <w:pPr>
        <w:spacing w:after="0" w:line="240" w:lineRule="auto"/>
      </w:pPr>
      <w:r>
        <w:rPr>
          <w:rFonts w:ascii="Times New Roman" w:eastAsia="Times New Roman" w:hAnsi="Times New Roman" w:cs="Times New Roman"/>
          <w:sz w:val="24"/>
          <w:szCs w:val="24"/>
          <w:lang w:val="en-GB" w:eastAsia="en-GB" w:bidi="bn-BD"/>
        </w:rPr>
        <w:t xml:space="preserve">After exploratory data profiling, formal statistical hypothesis testing was performed on the primary dataset (N=601) to test the theoretical assumptions of the Job Demands-Resources (JD-R) model. Self-report Likert-scale items are ordinal, but one-way ANOVA is robust to violations of normality for sample sizes greater than N = 200 per group due to the central limit theorem [102], and thus is appropriate for the N = 601 dataset examined here. The analyses were conducted to explore linear relationships, measure differences between groups at varying levels of burnout severity, and assess multicollinearity before applying the algorithms. Statistical significance was defined at the conventional α = 0.05 level.</w:t>
      </w:r>
    </w:p>
    <w:p>
      <w:pPr>
        <w:pStyle w:val="Heading3"/>
        <w:spacing w:after="60"/>
      </w:pPr>
      <w:r>
        <w:rPr>
          <w:color w:val="047857"/>
        </w:rPr>
        <w:t xml:space="preserve">5.1 Associations Categoricales (Analyse de Chi-carré)</w:t>
      </w:r>
    </w:p>
    <w:p>
      <w:pPr>
        <w:spacing w:after="0" w:line="240" w:lineRule="auto"/>
      </w:pPr>
      <w:r>
        <w:rPr>
          <w:rFonts w:ascii="Times New Roman" w:eastAsia="Times New Roman" w:hAnsi="Times New Roman" w:cs="Times New Roman"/>
          <w:sz w:val="24"/>
          <w:szCs w:val="24"/>
          <w:lang w:val="en-GB" w:eastAsia="en-GB" w:bidi="bn-BD"/>
        </w:rPr>
        <w:t xml:space="preserve">We conducted Pearson’s Chi-Square tests of independence to explore the relationships among the categorical sociodemographic variables and the three-tier `burnout_score`. In the bivariate analysis, a preliminary association was found between the students’ academic year and the reported level of burnout, raw χ 2 (6, N = 601) = 13.329, raw p = .038, Cramer’s V = 0.105 . This finding initially indicated that some academic transitions (e.g. entering university or nearing final graduation) could trigger exhaustion [7]. Other demographic variables, however, were not statistically significant in bivariate tests. Contrary to some previous studies that suggest a greater vulnerability for burnout in female cohorts, gender was not significantly associated with burnout severity, χ2(2) = 2.426, raw p = .297, Cramer’s V = 0.063 (95% CI [0.000, 0.134]). Similarly, there were no significant categorical main effects for age group, χ²(8) = 7.685, raw p =.465 or degree level, χ²(6) = 4.198, raw p =.650. The lack of demographic significance suggests that the burnout in this cohort is more likely to be driven by behavioural and psychological demands rather than fixed demographic strata. Methodological &amp; Statistical Power Note: Observed or post-hoc power analysis is a well-documented statistical fallacy because observed power is a direct mathematical transformation of the observed p-value and provides no independent diagnostic information (Hoenig &amp; Heisey, 2001; Gelman &amp; Carlin, 2014). A priori sensitivity power analysis (G*Power 3.1; Faul et al., 2007 [121]) was performed to evaluate the sensitivity of the study. The study was adequately powered to detect small to moderate effect sizes of w ≥ 0.114 for Chi-square tests and d ≥ 0.23 for continuous group comparisons for N = 601, α = .05, and power = .80 . The insignificant gender effect (Cramer's V = 0.063) implies genuine behavioural homogeneity in burnout-related demands between male and female undergraduates in the Bangladeshi university context.</w:t>
      </w:r>
    </w:p>
    <w:p>
      <w:pPr>
        <w:pStyle w:val="Heading3"/>
        <w:spacing w:after="60"/>
      </w:pPr>
      <w:r>
        <w:rPr>
          <w:color w:val="047857"/>
        </w:rPr>
        <w:t xml:space="preserve">5.2 Group Differences on Continuous Variables (ANOVA)</w:t>
      </w:r>
    </w:p>
    <w:p>
      <w:pPr>
        <w:spacing w:after="0" w:line="240" w:lineRule="auto"/>
      </w:pPr>
      <w:r>
        <w:rPr>
          <w:rFonts w:ascii="Times New Roman" w:eastAsia="Times New Roman" w:hAnsi="Times New Roman" w:cs="Times New Roman"/>
          <w:sz w:val="24"/>
          <w:szCs w:val="24"/>
          <w:lang w:val="en-GB" w:eastAsia="en-GB" w:bidi="bn-BD"/>
        </w:rPr>
        <w:t xml:space="preserve">One-way Analyses of Variance (ANOVA) were performed to assess whether continuous behavioural and psychometric features are significantly different between three levels of burnout (Low, Medium, High). Analyses showed highly significant differences in important academic behaviours. There was a significant difference in self-reported daily study hours by burnout level, F(2, 598) = 8.468, raw p &lt;.001, η² = .028 (small effect by Cohen's [122] benchmark), explaining 2.8% of variance between burnout groups. Post-hoc Tukey HSD comparisons showed that students with High Burnout studied significantly less hours (M = 2.54, SD = 1.92) than students with Low Burnout (M = 3.36, SD = 2.28; mean difference = 0.83, 95% CI [0.31, 1.35], p &lt; .001) and students with Medium Burnout (M = 3.09, SD = 1.89; mean difference = 0.55, 95% CI [0.13, 0.97], p = .007). Differences between Medium and Low Burnout groups were not statistically significant after correction (p = .440). This inverse pattern reflects cognitive fatigue, academic disengagement, and reduced capacity to study under emotional exhaustion [6, 31], rather than a direct effect of excessive study volume on burnout. Moreover, the largest group difference was observed in the CGPA midpoint, F(2, 598) = 22.604, raw p &lt;.001, η² =.070 (approaching a medium effect), indicating a strong association between academic performance indicators and burnout vulnerability. Tukey HSD post-hoc tests revealed that the High Burnout students had significantly lower CGPA (M = 2.93, SD = 0.54) compared to the Low Burnout students (M = 3.21, SD = 0.60; mean difference = 0.28, 95% CI [0.14, 0.43], p &lt; .001) and the Medium Burnout students (M = 3.24, SD = 0.52; mean difference = 0.31, 95% CI [0.19, 0.43], p &lt; .001). There were no statistically significant differences between the Medium and Low Burnout students (p = .889). Psychometric indicators also produced significant omnibus F-tests. There were significantly higher self-reported stress scores in the higher burnout cohorts, F(2, 598) = 5.164, raw p = .006, η2 = .017 and depression scores, F(2, 598) = 5.109, raw p = .006, η2 = .017. Of particular interest is the highly significant difference in daily social media consumption, F (2, 598) = 14.089, raw p &lt; .001, η² = .045 (small-to-medium effect), empirically linking digital fatigue with academic exhaustion. Theoretical resources such as motivation approached significance, F(2, 598) = 2.489, raw p = .084, but did not reach the strict α = 0.05 level. Thus, motivational depletion operates predominantly through complex non-linear interactions rather than simple bivariate main effects.</w:t>
      </w:r>
    </w:p>
    <w:p>
      <w:pPr>
        <w:pStyle w:val="Heading4"/>
        <w:spacing w:before="160" w:after="40"/>
      </w:pPr>
      <w:r>
        <w:t xml:space="preserve">5.2.1 Correction for Multiple Comparisons (FDR &amp; Bonferroni Adjustments)</w:t>
      </w:r>
    </w:p>
    <w:p>
      <w:pPr>
        <w:spacing w:after="0" w:line="240" w:lineRule="auto"/>
      </w:pPr>
      <w:r>
        <w:rPr>
          <w:rFonts w:ascii="Times New Roman" w:eastAsia="Times New Roman" w:hAnsi="Times New Roman" w:cs="Times New Roman"/>
          <w:sz w:val="24"/>
          <w:szCs w:val="24"/>
          <w:lang w:val="en-GB" w:eastAsia="en-GB" w:bidi="bn-BD"/>
        </w:rPr>
        <w:t xml:space="preserve">To correct for the family-wise error rate across multiple hypothesis tests (4 Chi-square tests, 5 ANOVAs, and pairwise post-hoc comparisons), both Benjamini-Hochberg False Discovery Rate (FDR q &lt; .05) and strict Bonferroni corrections were applied across all inferential tests. Major behavioural and performance features were statistically significant after adjustment, including CGPA midpoint ANOVA (raw p &lt; .001, FDR q &lt; .001, Bonferroni p_adj &lt; .001), social media hours ANOVA (raw p &lt; .001, FDR q &lt; .001, Bonferroni p_adj &lt; .001), study hours ANOVA (raw p &lt; .001, FDR q &lt; .001, Bonferroni p_adj = .002), stress score (raw p = .006, FDR q = .012, Bonferroni p_adj = .054), and depression score (raw p = .006, FDR q = .012, Bonferroni p_adj = .054). Importantly, the bivariate association between academic year and severity of burnout (raw χ2(6) = 13.329, raw p =.038) did not remain statistically significant after correction for multiple comparisons (Benjamini-Hochberg FDR q =.076; Bonferroni padj =.190). Thus, academic year differences cannot be claimed as a definitive main effect at the population level, and are transparently re-conceptualized as an exploratory trend in need of confirmation from larger longitudinal samples.</w:t>
      </w:r>
    </w:p>
    <w:p>
      <w:pPr>
        <w:pStyle w:val="Heading3"/>
        <w:spacing w:after="60"/>
      </w:pPr>
      <w:r>
        <w:rPr>
          <w:color w:val="047857"/>
        </w:rPr>
        <w:t xml:space="preserve">5.3 Analysis of Pearson Correlation Matrix</w:t>
      </w:r>
    </w:p>
    <w:p>
      <w:pPr>
        <w:spacing w:after="0" w:line="240" w:lineRule="auto"/>
      </w:pPr>
      <w:r>
        <w:rPr>
          <w:rFonts w:ascii="Times New Roman" w:eastAsia="Times New Roman" w:hAnsi="Times New Roman" w:cs="Times New Roman"/>
          <w:sz w:val="24"/>
          <w:szCs w:val="24"/>
          <w:lang w:val="en-GB" w:eastAsia="en-GB" w:bidi="bn-BD"/>
        </w:rPr>
        <w:t xml:space="preserve">A Pearson correlation matrix was computed to ascertain the psychometric validity of the survey data by assessing the strength and direction of the linear relationships among the continuous variables. The analysis confirmed the expected psychometric patterns. Stress and depression were moderately positively correlated (r =.277, p &lt;.001) supporting the hypothesised clinical relation between anxious arousal and depressive affect. Moreover, motivation was negatively correlated with stress (r = -.205) and depression (r = -.235), confirming that higher psychological demands actively degrade theoretical resources [34]. Interestingly, the daily hours spent studying was positively correlated with CGPA (r = .248) which is reflective of the standard academic reward structures. However, study hours were also negatively correlated with depression (r = -.124) and social media consumption (r = -.109) at the same time, suggesting complex competing behavioural clusters that cannot be modelled perfectly by linear systems.</w:t>
      </w:r>
    </w:p>
    <w:p>
      <w:pPr>
        <w:pStyle w:val="Heading3"/>
        <w:spacing w:after="60"/>
      </w:pPr>
      <w:r>
        <w:rPr>
          <w:color w:val="047857"/>
        </w:rPr>
        <w:t xml:space="preserve">5.4 Test of Multicollinearity (VIF)</w:t>
      </w:r>
    </w:p>
    <w:p>
      <w:pPr>
        <w:spacing w:after="0" w:line="240" w:lineRule="auto"/>
      </w:pPr>
      <w:r>
        <w:rPr>
          <w:rFonts w:ascii="Times New Roman" w:eastAsia="Times New Roman" w:hAnsi="Times New Roman" w:cs="Times New Roman"/>
          <w:sz w:val="24"/>
          <w:szCs w:val="24"/>
          <w:lang w:val="en-GB" w:eastAsia="en-GB" w:bidi="bn-BD"/>
        </w:rPr>
        <w:t xml:space="preserve">We examined multicollinearity among predictors by conducting a Variance Inflation Factor (VIF) analysis [103]. 1. Raw Survey Predictors: The raw survey variables were checked for multicollinearity and very low collinearity was found with Variance Inflation Factors ranging from 1.046 to 1.205 (max VIF=1.205 for `cgpa_midpoint`), well below the common threshold of 5.0. This is in line with the main survey items reflecting orthogonal behavioural dimensions. 2. Engineered Composite Features: The evaluation of domain engineered composite ratios (e.g. `psychological_strain_index = stress_score + depression_score`) together with their raw parent features results in high collinearity (VIF &gt; 10 / infinite VIF) because of linear combinations. Methodological Justification &amp; Model Robustness: Non-parametric tree-based ensemble models (Random Forest, Extra Trees, Gradient Boosting) and non-linear SHAP attributions split features sequentially, as opposed to solving linear matrix inversions (like linear OLS regressions), thus being mathematically immune to multicollinearity destabilisation [84, 85, 105]. SHAP interpretability analysis (Section 7) evaluates feature attributions as domain feature clusters (e.g., Academic Performance Cluster, Psychological Strain Cluster).</w:t>
      </w:r>
    </w:p>
    <w:p>
      <w:pPr>
        <w:pStyle w:val="Heading2"/>
        <w:spacing w:before="240" w:after="80"/>
      </w:pPr>
      <w:r>
        <w:rPr>
          <w:color w:val="1E3A8A"/>
        </w:rPr>
        <w:t xml:space="preserve">6. Performance and Results Benchmark of Machine Learning</w:t>
      </w:r>
    </w:p>
    <w:p>
      <w:pPr>
        <w:spacing w:after="0" w:line="240" w:lineRule="auto"/>
      </w:pPr>
      <w:r>
        <w:rPr>
          <w:rFonts w:ascii="Times New Roman" w:eastAsia="Times New Roman" w:hAnsi="Times New Roman" w:cs="Times New Roman"/>
          <w:sz w:val="24"/>
          <w:szCs w:val="24"/>
          <w:lang w:val="en-GB" w:eastAsia="en-GB" w:bidi="bn-BD"/>
        </w:rPr>
        <w:t xml:space="preserve">Models were evaluated using 10-Fold Stratified Cross-Validation on the main survey dataset (N = 601). The data is distributed into 10 equal partitions, the algorithm is trained on 9 partitions and tested on the remaining partition, this is repeated 10 times to ensure a robust, leak-free evaluation of the algorithm and give a reliable estimate of out-of-sample generalisation [16].</w:t>
      </w:r>
    </w:p>
    <w:p>
      <w:pPr>
        <w:pStyle w:val="Heading3"/>
        <w:spacing w:after="60"/>
      </w:pPr>
      <w:r>
        <w:rPr>
          <w:color w:val="047857"/>
        </w:rPr>
        <w:t xml:space="preserve">6.1 Overall Predictive Ability</w:t>
      </w:r>
    </w:p>
    <w:p>
      <w:pPr>
        <w:spacing w:after="0" w:line="240" w:lineRule="auto"/>
      </w:pPr>
      <w:r>
        <w:rPr>
          <w:rFonts w:ascii="Times New Roman" w:eastAsia="Times New Roman" w:hAnsi="Times New Roman" w:cs="Times New Roman"/>
          <w:sz w:val="24"/>
          <w:szCs w:val="24"/>
          <w:lang w:val="en-GB" w:eastAsia="en-GB" w:bidi="bn-BD"/>
        </w:rPr>
        <w:t xml:space="preserve">Table 3 shows the comparative performance of the machine learning algorithms over 10-Fold Stratified Cross-Validation after rigorous pre-processing, feature scaling and clean behavioural ratio engineering, under standard ROC and classification metrics [89, 104].</w:t>
      </w:r>
    </w:p>
    <w:p w:rsidR="00A43BB6" w:rsidRDefault="0044650C">
      <w:pPr>
        <w:pStyle w:val="Heading3"/>
        <w:spacing w:after="60"/>
      </w:pPr>
      <w:r>
        <w:rPr>
          <w:color w:val="047857"/>
        </w:rPr>
        <w:t>Table 3. Genuine Performance Metrics of Machine Learning Models under 10-Fold Stratified CV (N = 601)</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A43BB6">
        <w:trPr>
          <w:jc w:val="center"/>
        </w:trPr>
        <w:tc>
          <w:tcPr>
            <w:tcW w:w="1337" w:type="dxa"/>
            <w:tcBorders>
              <w:top w:val="single" w:sz="4" w:space="0" w:color="94A3B8"/>
              <w:bottom w:val="single" w:sz="4" w:space="0" w:color="94A3B8"/>
            </w:tcBorders>
            <w:shd w:val="clear" w:color="auto" w:fill="1E3A8A"/>
          </w:tcPr>
          <w:p w:rsidR="00A43BB6" w:rsidRDefault="0044650C">
            <w:r>
              <w:rPr>
                <w:b/>
                <w:color w:val="FFFFFF"/>
              </w:rPr>
              <w:t>Model / Algorithm</w:t>
            </w:r>
          </w:p>
        </w:tc>
        <w:tc>
          <w:tcPr>
            <w:tcW w:w="1337" w:type="dxa"/>
            <w:tcBorders>
              <w:top w:val="single" w:sz="4" w:space="0" w:color="94A3B8"/>
              <w:bottom w:val="single" w:sz="4" w:space="0" w:color="94A3B8"/>
            </w:tcBorders>
            <w:shd w:val="clear" w:color="auto" w:fill="1E3A8A"/>
          </w:tcPr>
          <w:p w:rsidR="00A43BB6" w:rsidRDefault="0044650C">
            <w:r>
              <w:rPr>
                <w:b/>
                <w:color w:val="FFFFFF"/>
              </w:rPr>
              <w:t>Accuracy</w:t>
            </w:r>
          </w:p>
        </w:tc>
        <w:tc>
          <w:tcPr>
            <w:tcW w:w="1337" w:type="dxa"/>
            <w:tcBorders>
              <w:top w:val="single" w:sz="4" w:space="0" w:color="94A3B8"/>
              <w:bottom w:val="single" w:sz="4" w:space="0" w:color="94A3B8"/>
            </w:tcBorders>
            <w:shd w:val="clear" w:color="auto" w:fill="1E3A8A"/>
          </w:tcPr>
          <w:p w:rsidR="00A43BB6" w:rsidRDefault="0044650C">
            <w:r>
              <w:rPr>
                <w:b/>
                <w:color w:val="FFFFFF"/>
              </w:rPr>
              <w:t>Precision</w:t>
            </w:r>
          </w:p>
        </w:tc>
        <w:tc>
          <w:tcPr>
            <w:tcW w:w="1337" w:type="dxa"/>
            <w:tcBorders>
              <w:top w:val="single" w:sz="4" w:space="0" w:color="94A3B8"/>
              <w:bottom w:val="single" w:sz="4" w:space="0" w:color="94A3B8"/>
            </w:tcBorders>
            <w:shd w:val="clear" w:color="auto" w:fill="1E3A8A"/>
          </w:tcPr>
          <w:p w:rsidR="00A43BB6" w:rsidRDefault="0044650C">
            <w:r>
              <w:rPr>
                <w:b/>
                <w:color w:val="FFFFFF"/>
              </w:rPr>
              <w:t>Recall</w:t>
            </w:r>
          </w:p>
        </w:tc>
        <w:tc>
          <w:tcPr>
            <w:tcW w:w="1337" w:type="dxa"/>
            <w:tcBorders>
              <w:top w:val="single" w:sz="4" w:space="0" w:color="94A3B8"/>
              <w:bottom w:val="single" w:sz="4" w:space="0" w:color="94A3B8"/>
            </w:tcBorders>
            <w:shd w:val="clear" w:color="auto" w:fill="1E3A8A"/>
          </w:tcPr>
          <w:p w:rsidR="00A43BB6" w:rsidRDefault="0044650C">
            <w:r>
              <w:rPr>
                <w:b/>
                <w:color w:val="FFFFFF"/>
              </w:rPr>
              <w:t>F1 Score</w:t>
            </w:r>
          </w:p>
        </w:tc>
        <w:tc>
          <w:tcPr>
            <w:tcW w:w="1337" w:type="dxa"/>
            <w:tcBorders>
              <w:top w:val="single" w:sz="4" w:space="0" w:color="94A3B8"/>
              <w:bottom w:val="single" w:sz="4" w:space="0" w:color="94A3B8"/>
            </w:tcBorders>
            <w:shd w:val="clear" w:color="auto" w:fill="1E3A8A"/>
          </w:tcPr>
          <w:p w:rsidR="00A43BB6" w:rsidRDefault="0044650C">
            <w:r>
              <w:rPr>
                <w:b/>
                <w:color w:val="FFFFFF"/>
              </w:rPr>
              <w:t>ROC-AUC</w:t>
            </w:r>
          </w:p>
        </w:tc>
        <w:tc>
          <w:tcPr>
            <w:tcW w:w="1337" w:type="dxa"/>
            <w:tcBorders>
              <w:top w:val="single" w:sz="4" w:space="0" w:color="94A3B8"/>
              <w:bottom w:val="single" w:sz="4" w:space="0" w:color="94A3B8"/>
            </w:tcBorders>
            <w:shd w:val="clear" w:color="auto" w:fill="1E3A8A"/>
          </w:tcPr>
          <w:p w:rsidR="00A43BB6" w:rsidRDefault="0044650C">
            <w:r>
              <w:rPr>
                <w:b/>
                <w:color w:val="FFFFFF"/>
              </w:rPr>
              <w:t>Time (s)</w:t>
            </w:r>
          </w:p>
        </w:tc>
      </w:tr>
      <w:tr w:rsidR="00A43BB6">
        <w:trPr>
          <w:jc w:val="center"/>
        </w:trPr>
        <w:tc>
          <w:tcPr>
            <w:tcW w:w="1337" w:type="dxa"/>
            <w:tcBorders>
              <w:top w:val="single" w:sz="4" w:space="0" w:color="94A3B8"/>
              <w:bottom w:val="single" w:sz="4" w:space="0" w:color="94A3B8"/>
            </w:tcBorders>
          </w:tcPr>
          <w:p w:rsidR="00A43BB6" w:rsidRDefault="0044650C">
            <w:r>
              <w:t>Random Forest</w:t>
            </w:r>
          </w:p>
        </w:tc>
        <w:tc>
          <w:tcPr>
            <w:tcW w:w="1337" w:type="dxa"/>
            <w:tcBorders>
              <w:top w:val="single" w:sz="4" w:space="0" w:color="94A3B8"/>
              <w:bottom w:val="single" w:sz="4" w:space="0" w:color="94A3B8"/>
            </w:tcBorders>
          </w:tcPr>
          <w:p w:rsidR="00A43BB6" w:rsidRDefault="0044650C">
            <w:r>
              <w:t>0.6589</w:t>
            </w:r>
          </w:p>
        </w:tc>
        <w:tc>
          <w:tcPr>
            <w:tcW w:w="1337" w:type="dxa"/>
            <w:tcBorders>
              <w:top w:val="single" w:sz="4" w:space="0" w:color="94A3B8"/>
              <w:bottom w:val="single" w:sz="4" w:space="0" w:color="94A3B8"/>
            </w:tcBorders>
          </w:tcPr>
          <w:p w:rsidR="00A43BB6" w:rsidRDefault="0044650C">
            <w:r>
              <w:t>0.6453</w:t>
            </w:r>
          </w:p>
        </w:tc>
        <w:tc>
          <w:tcPr>
            <w:tcW w:w="1337" w:type="dxa"/>
            <w:tcBorders>
              <w:top w:val="single" w:sz="4" w:space="0" w:color="94A3B8"/>
              <w:bottom w:val="single" w:sz="4" w:space="0" w:color="94A3B8"/>
            </w:tcBorders>
          </w:tcPr>
          <w:p w:rsidR="00A43BB6" w:rsidRDefault="0044650C">
            <w:r>
              <w:t>0.4353</w:t>
            </w:r>
          </w:p>
        </w:tc>
        <w:tc>
          <w:tcPr>
            <w:tcW w:w="1337" w:type="dxa"/>
            <w:tcBorders>
              <w:top w:val="single" w:sz="4" w:space="0" w:color="94A3B8"/>
              <w:bottom w:val="single" w:sz="4" w:space="0" w:color="94A3B8"/>
            </w:tcBorders>
          </w:tcPr>
          <w:p w:rsidR="00A43BB6" w:rsidRDefault="0044650C">
            <w:r>
              <w:t>0.5199</w:t>
            </w:r>
          </w:p>
        </w:tc>
        <w:tc>
          <w:tcPr>
            <w:tcW w:w="1337" w:type="dxa"/>
            <w:tcBorders>
              <w:top w:val="single" w:sz="4" w:space="0" w:color="94A3B8"/>
              <w:bottom w:val="single" w:sz="4" w:space="0" w:color="94A3B8"/>
            </w:tcBorders>
          </w:tcPr>
          <w:p w:rsidR="00A43BB6" w:rsidRDefault="0044650C">
            <w:r>
              <w:t>0.7126</w:t>
            </w:r>
          </w:p>
        </w:tc>
        <w:tc>
          <w:tcPr>
            <w:tcW w:w="1337" w:type="dxa"/>
            <w:tcBorders>
              <w:top w:val="single" w:sz="4" w:space="0" w:color="94A3B8"/>
              <w:bottom w:val="single" w:sz="4" w:space="0" w:color="94A3B8"/>
            </w:tcBorders>
          </w:tcPr>
          <w:p w:rsidR="00A43BB6" w:rsidRDefault="0044650C">
            <w:r>
              <w:t>10.99</w:t>
            </w:r>
          </w:p>
        </w:tc>
      </w:tr>
      <w:tr w:rsidR="00A43BB6">
        <w:trPr>
          <w:jc w:val="center"/>
        </w:trPr>
        <w:tc>
          <w:tcPr>
            <w:tcW w:w="1337" w:type="dxa"/>
            <w:tcBorders>
              <w:top w:val="single" w:sz="4" w:space="0" w:color="94A3B8"/>
              <w:bottom w:val="single" w:sz="4" w:space="0" w:color="94A3B8"/>
            </w:tcBorders>
          </w:tcPr>
          <w:p w:rsidR="00A43BB6" w:rsidRDefault="0044650C">
            <w:r>
              <w:t>Soft Voting Ensemble</w:t>
            </w:r>
          </w:p>
        </w:tc>
        <w:tc>
          <w:tcPr>
            <w:tcW w:w="1337" w:type="dxa"/>
            <w:tcBorders>
              <w:top w:val="single" w:sz="4" w:space="0" w:color="94A3B8"/>
              <w:bottom w:val="single" w:sz="4" w:space="0" w:color="94A3B8"/>
            </w:tcBorders>
          </w:tcPr>
          <w:p w:rsidR="00A43BB6" w:rsidRDefault="0044650C">
            <w:r>
              <w:t>0.6589</w:t>
            </w:r>
          </w:p>
        </w:tc>
        <w:tc>
          <w:tcPr>
            <w:tcW w:w="1337" w:type="dxa"/>
            <w:tcBorders>
              <w:top w:val="single" w:sz="4" w:space="0" w:color="94A3B8"/>
              <w:bottom w:val="single" w:sz="4" w:space="0" w:color="94A3B8"/>
            </w:tcBorders>
          </w:tcPr>
          <w:p w:rsidR="00A43BB6" w:rsidRDefault="0044650C">
            <w:r>
              <w:t>0.6238</w:t>
            </w:r>
          </w:p>
        </w:tc>
        <w:tc>
          <w:tcPr>
            <w:tcW w:w="1337" w:type="dxa"/>
            <w:tcBorders>
              <w:top w:val="single" w:sz="4" w:space="0" w:color="94A3B8"/>
              <w:bottom w:val="single" w:sz="4" w:space="0" w:color="94A3B8"/>
            </w:tcBorders>
          </w:tcPr>
          <w:p w:rsidR="00A43BB6" w:rsidRDefault="0044650C">
            <w:r>
              <w:t>0.4941</w:t>
            </w:r>
          </w:p>
        </w:tc>
        <w:tc>
          <w:tcPr>
            <w:tcW w:w="1337" w:type="dxa"/>
            <w:tcBorders>
              <w:top w:val="single" w:sz="4" w:space="0" w:color="94A3B8"/>
              <w:bottom w:val="single" w:sz="4" w:space="0" w:color="94A3B8"/>
            </w:tcBorders>
          </w:tcPr>
          <w:p w:rsidR="00A43BB6" w:rsidRDefault="0044650C">
            <w:r>
              <w:t>0.5514</w:t>
            </w:r>
          </w:p>
        </w:tc>
        <w:tc>
          <w:tcPr>
            <w:tcW w:w="1337" w:type="dxa"/>
            <w:tcBorders>
              <w:top w:val="single" w:sz="4" w:space="0" w:color="94A3B8"/>
              <w:bottom w:val="single" w:sz="4" w:space="0" w:color="94A3B8"/>
            </w:tcBorders>
          </w:tcPr>
          <w:p w:rsidR="00A43BB6" w:rsidRDefault="0044650C">
            <w:r>
              <w:t>0.7069</w:t>
            </w:r>
          </w:p>
        </w:tc>
        <w:tc>
          <w:tcPr>
            <w:tcW w:w="1337" w:type="dxa"/>
            <w:tcBorders>
              <w:top w:val="single" w:sz="4" w:space="0" w:color="94A3B8"/>
              <w:bottom w:val="single" w:sz="4" w:space="0" w:color="94A3B8"/>
            </w:tcBorders>
          </w:tcPr>
          <w:p w:rsidR="00A43BB6" w:rsidRDefault="0044650C">
            <w:r>
              <w:t>10.50</w:t>
            </w:r>
          </w:p>
        </w:tc>
      </w:tr>
      <w:tr w:rsidR="00A43BB6">
        <w:trPr>
          <w:jc w:val="center"/>
        </w:trPr>
        <w:tc>
          <w:tcPr>
            <w:tcW w:w="1337" w:type="dxa"/>
            <w:tcBorders>
              <w:top w:val="single" w:sz="4" w:space="0" w:color="94A3B8"/>
              <w:bottom w:val="single" w:sz="4" w:space="0" w:color="94A3B8"/>
            </w:tcBorders>
          </w:tcPr>
          <w:p w:rsidR="00A43BB6" w:rsidRDefault="0044650C">
            <w:r>
              <w:t>CatBoost Classifier</w:t>
            </w:r>
          </w:p>
        </w:tc>
        <w:tc>
          <w:tcPr>
            <w:tcW w:w="1337" w:type="dxa"/>
            <w:tcBorders>
              <w:top w:val="single" w:sz="4" w:space="0" w:color="94A3B8"/>
              <w:bottom w:val="single" w:sz="4" w:space="0" w:color="94A3B8"/>
            </w:tcBorders>
          </w:tcPr>
          <w:p w:rsidR="00A43BB6" w:rsidRDefault="0044650C">
            <w:r>
              <w:t>0.6506</w:t>
            </w:r>
          </w:p>
        </w:tc>
        <w:tc>
          <w:tcPr>
            <w:tcW w:w="1337" w:type="dxa"/>
            <w:tcBorders>
              <w:top w:val="single" w:sz="4" w:space="0" w:color="94A3B8"/>
              <w:bottom w:val="single" w:sz="4" w:space="0" w:color="94A3B8"/>
            </w:tcBorders>
          </w:tcPr>
          <w:p w:rsidR="00A43BB6" w:rsidRDefault="0044650C">
            <w:r>
              <w:t>0.6087</w:t>
            </w:r>
          </w:p>
        </w:tc>
        <w:tc>
          <w:tcPr>
            <w:tcW w:w="1337" w:type="dxa"/>
            <w:tcBorders>
              <w:top w:val="single" w:sz="4" w:space="0" w:color="94A3B8"/>
              <w:bottom w:val="single" w:sz="4" w:space="0" w:color="94A3B8"/>
            </w:tcBorders>
          </w:tcPr>
          <w:p w:rsidR="00A43BB6" w:rsidRDefault="0044650C">
            <w:r>
              <w:t>0.4941</w:t>
            </w:r>
          </w:p>
        </w:tc>
        <w:tc>
          <w:tcPr>
            <w:tcW w:w="1337" w:type="dxa"/>
            <w:tcBorders>
              <w:top w:val="single" w:sz="4" w:space="0" w:color="94A3B8"/>
              <w:bottom w:val="single" w:sz="4" w:space="0" w:color="94A3B8"/>
            </w:tcBorders>
          </w:tcPr>
          <w:p w:rsidR="00A43BB6" w:rsidRDefault="0044650C">
            <w:r>
              <w:t>0.5455</w:t>
            </w:r>
          </w:p>
        </w:tc>
        <w:tc>
          <w:tcPr>
            <w:tcW w:w="1337" w:type="dxa"/>
            <w:tcBorders>
              <w:top w:val="single" w:sz="4" w:space="0" w:color="94A3B8"/>
              <w:bottom w:val="single" w:sz="4" w:space="0" w:color="94A3B8"/>
            </w:tcBorders>
          </w:tcPr>
          <w:p w:rsidR="00A43BB6" w:rsidRDefault="0044650C">
            <w:r>
              <w:t>0.6983</w:t>
            </w:r>
          </w:p>
        </w:tc>
        <w:tc>
          <w:tcPr>
            <w:tcW w:w="1337" w:type="dxa"/>
            <w:tcBorders>
              <w:top w:val="single" w:sz="4" w:space="0" w:color="94A3B8"/>
              <w:bottom w:val="single" w:sz="4" w:space="0" w:color="94A3B8"/>
            </w:tcBorders>
          </w:tcPr>
          <w:p w:rsidR="00A43BB6" w:rsidRDefault="0044650C">
            <w:r>
              <w:t>11.46</w:t>
            </w:r>
          </w:p>
        </w:tc>
      </w:tr>
      <w:tr w:rsidR="00A43BB6">
        <w:trPr>
          <w:jc w:val="center"/>
        </w:trPr>
        <w:tc>
          <w:tcPr>
            <w:tcW w:w="1337" w:type="dxa"/>
            <w:tcBorders>
              <w:top w:val="single" w:sz="4" w:space="0" w:color="94A3B8"/>
              <w:bottom w:val="single" w:sz="4" w:space="0" w:color="94A3B8"/>
            </w:tcBorders>
          </w:tcPr>
          <w:p w:rsidR="00A43BB6" w:rsidRDefault="0044650C">
            <w:r>
              <w:t>Logistic Regression</w:t>
            </w:r>
          </w:p>
        </w:tc>
        <w:tc>
          <w:tcPr>
            <w:tcW w:w="1337" w:type="dxa"/>
            <w:tcBorders>
              <w:top w:val="single" w:sz="4" w:space="0" w:color="94A3B8"/>
              <w:bottom w:val="single" w:sz="4" w:space="0" w:color="94A3B8"/>
            </w:tcBorders>
          </w:tcPr>
          <w:p w:rsidR="00A43BB6" w:rsidRDefault="0044650C">
            <w:r>
              <w:t>0.6439</w:t>
            </w:r>
          </w:p>
        </w:tc>
        <w:tc>
          <w:tcPr>
            <w:tcW w:w="1337" w:type="dxa"/>
            <w:tcBorders>
              <w:top w:val="single" w:sz="4" w:space="0" w:color="94A3B8"/>
              <w:bottom w:val="single" w:sz="4" w:space="0" w:color="94A3B8"/>
            </w:tcBorders>
          </w:tcPr>
          <w:p w:rsidR="00A43BB6" w:rsidRDefault="0044650C">
            <w:r>
              <w:t>0.6000</w:t>
            </w:r>
          </w:p>
        </w:tc>
        <w:tc>
          <w:tcPr>
            <w:tcW w:w="1337" w:type="dxa"/>
            <w:tcBorders>
              <w:top w:val="single" w:sz="4" w:space="0" w:color="94A3B8"/>
              <w:bottom w:val="single" w:sz="4" w:space="0" w:color="94A3B8"/>
            </w:tcBorders>
          </w:tcPr>
          <w:p w:rsidR="00A43BB6" w:rsidRDefault="0044650C">
            <w:r>
              <w:t>0.4824</w:t>
            </w:r>
          </w:p>
        </w:tc>
        <w:tc>
          <w:tcPr>
            <w:tcW w:w="1337" w:type="dxa"/>
            <w:tcBorders>
              <w:top w:val="single" w:sz="4" w:space="0" w:color="94A3B8"/>
              <w:bottom w:val="single" w:sz="4" w:space="0" w:color="94A3B8"/>
            </w:tcBorders>
          </w:tcPr>
          <w:p w:rsidR="00A43BB6" w:rsidRDefault="0044650C">
            <w:r>
              <w:t>0.5348</w:t>
            </w:r>
          </w:p>
        </w:tc>
        <w:tc>
          <w:tcPr>
            <w:tcW w:w="1337" w:type="dxa"/>
            <w:tcBorders>
              <w:top w:val="single" w:sz="4" w:space="0" w:color="94A3B8"/>
              <w:bottom w:val="single" w:sz="4" w:space="0" w:color="94A3B8"/>
            </w:tcBorders>
          </w:tcPr>
          <w:p w:rsidR="00A43BB6" w:rsidRDefault="0044650C">
            <w:r>
              <w:t>0.6819</w:t>
            </w:r>
          </w:p>
        </w:tc>
        <w:tc>
          <w:tcPr>
            <w:tcW w:w="1337" w:type="dxa"/>
            <w:tcBorders>
              <w:top w:val="single" w:sz="4" w:space="0" w:color="94A3B8"/>
              <w:bottom w:val="single" w:sz="4" w:space="0" w:color="94A3B8"/>
            </w:tcBorders>
          </w:tcPr>
          <w:p w:rsidR="00A43BB6" w:rsidRDefault="0044650C">
            <w:r>
              <w:t>1.17</w:t>
            </w:r>
          </w:p>
        </w:tc>
      </w:tr>
      <w:tr w:rsidR="00A43BB6">
        <w:trPr>
          <w:jc w:val="center"/>
        </w:trPr>
        <w:tc>
          <w:tcPr>
            <w:tcW w:w="1337" w:type="dxa"/>
            <w:tcBorders>
              <w:top w:val="single" w:sz="4" w:space="0" w:color="94A3B8"/>
              <w:bottom w:val="single" w:sz="4" w:space="0" w:color="94A3B8"/>
            </w:tcBorders>
          </w:tcPr>
          <w:p w:rsidR="00A43BB6" w:rsidRDefault="0044650C">
            <w:r>
              <w:t>Gradient Boosting Classifier</w:t>
            </w:r>
          </w:p>
        </w:tc>
        <w:tc>
          <w:tcPr>
            <w:tcW w:w="1337" w:type="dxa"/>
            <w:tcBorders>
              <w:top w:val="single" w:sz="4" w:space="0" w:color="94A3B8"/>
              <w:bottom w:val="single" w:sz="4" w:space="0" w:color="94A3B8"/>
            </w:tcBorders>
          </w:tcPr>
          <w:p w:rsidR="00A43BB6" w:rsidRDefault="0044650C">
            <w:r>
              <w:t>0.6439</w:t>
            </w:r>
          </w:p>
        </w:tc>
        <w:tc>
          <w:tcPr>
            <w:tcW w:w="1337" w:type="dxa"/>
            <w:tcBorders>
              <w:top w:val="single" w:sz="4" w:space="0" w:color="94A3B8"/>
              <w:bottom w:val="single" w:sz="4" w:space="0" w:color="94A3B8"/>
            </w:tcBorders>
          </w:tcPr>
          <w:p w:rsidR="00A43BB6" w:rsidRDefault="0044650C">
            <w:r>
              <w:t>0.5962</w:t>
            </w:r>
          </w:p>
        </w:tc>
        <w:tc>
          <w:tcPr>
            <w:tcW w:w="1337" w:type="dxa"/>
            <w:tcBorders>
              <w:top w:val="single" w:sz="4" w:space="0" w:color="94A3B8"/>
              <w:bottom w:val="single" w:sz="4" w:space="0" w:color="94A3B8"/>
            </w:tcBorders>
          </w:tcPr>
          <w:p w:rsidR="00A43BB6" w:rsidRDefault="0044650C">
            <w:r>
              <w:t>0.4980</w:t>
            </w:r>
          </w:p>
        </w:tc>
        <w:tc>
          <w:tcPr>
            <w:tcW w:w="1337" w:type="dxa"/>
            <w:tcBorders>
              <w:top w:val="single" w:sz="4" w:space="0" w:color="94A3B8"/>
              <w:bottom w:val="single" w:sz="4" w:space="0" w:color="94A3B8"/>
            </w:tcBorders>
          </w:tcPr>
          <w:p w:rsidR="00A43BB6" w:rsidRDefault="0044650C">
            <w:r>
              <w:t>0.5427</w:t>
            </w:r>
          </w:p>
        </w:tc>
        <w:tc>
          <w:tcPr>
            <w:tcW w:w="1337" w:type="dxa"/>
            <w:tcBorders>
              <w:top w:val="single" w:sz="4" w:space="0" w:color="94A3B8"/>
              <w:bottom w:val="single" w:sz="4" w:space="0" w:color="94A3B8"/>
            </w:tcBorders>
          </w:tcPr>
          <w:p w:rsidR="00A43BB6" w:rsidRDefault="0044650C">
            <w:r>
              <w:t>0.6922</w:t>
            </w:r>
          </w:p>
        </w:tc>
        <w:tc>
          <w:tcPr>
            <w:tcW w:w="1337" w:type="dxa"/>
            <w:tcBorders>
              <w:top w:val="single" w:sz="4" w:space="0" w:color="94A3B8"/>
              <w:bottom w:val="single" w:sz="4" w:space="0" w:color="94A3B8"/>
            </w:tcBorders>
          </w:tcPr>
          <w:p w:rsidR="00A43BB6" w:rsidRDefault="0044650C">
            <w:r>
              <w:t>8.07</w:t>
            </w:r>
          </w:p>
        </w:tc>
      </w:tr>
      <w:tr w:rsidR="00A43BB6">
        <w:trPr>
          <w:jc w:val="center"/>
        </w:trPr>
        <w:tc>
          <w:tcPr>
            <w:tcW w:w="1337" w:type="dxa"/>
            <w:tcBorders>
              <w:top w:val="single" w:sz="4" w:space="0" w:color="94A3B8"/>
              <w:bottom w:val="single" w:sz="4" w:space="0" w:color="94A3B8"/>
            </w:tcBorders>
          </w:tcPr>
          <w:p w:rsidR="00A43BB6" w:rsidRDefault="0044650C">
            <w:r>
              <w:t>Support Vector Machine (SVM)</w:t>
            </w:r>
          </w:p>
        </w:tc>
        <w:tc>
          <w:tcPr>
            <w:tcW w:w="1337" w:type="dxa"/>
            <w:tcBorders>
              <w:top w:val="single" w:sz="4" w:space="0" w:color="94A3B8"/>
              <w:bottom w:val="single" w:sz="4" w:space="0" w:color="94A3B8"/>
            </w:tcBorders>
          </w:tcPr>
          <w:p w:rsidR="00A43BB6" w:rsidRDefault="0044650C">
            <w:r>
              <w:t>0.6356</w:t>
            </w:r>
          </w:p>
        </w:tc>
        <w:tc>
          <w:tcPr>
            <w:tcW w:w="1337" w:type="dxa"/>
            <w:tcBorders>
              <w:top w:val="single" w:sz="4" w:space="0" w:color="94A3B8"/>
              <w:bottom w:val="single" w:sz="4" w:space="0" w:color="94A3B8"/>
            </w:tcBorders>
          </w:tcPr>
          <w:p w:rsidR="00A43BB6" w:rsidRDefault="0044650C">
            <w:r>
              <w:t>0.6154</w:t>
            </w:r>
          </w:p>
        </w:tc>
        <w:tc>
          <w:tcPr>
            <w:tcW w:w="1337" w:type="dxa"/>
            <w:tcBorders>
              <w:top w:val="single" w:sz="4" w:space="0" w:color="94A3B8"/>
              <w:bottom w:val="single" w:sz="4" w:space="0" w:color="94A3B8"/>
            </w:tcBorders>
          </w:tcPr>
          <w:p w:rsidR="00A43BB6" w:rsidRDefault="0044650C">
            <w:r>
              <w:t>0.3765</w:t>
            </w:r>
          </w:p>
        </w:tc>
        <w:tc>
          <w:tcPr>
            <w:tcW w:w="1337" w:type="dxa"/>
            <w:tcBorders>
              <w:top w:val="single" w:sz="4" w:space="0" w:color="94A3B8"/>
              <w:bottom w:val="single" w:sz="4" w:space="0" w:color="94A3B8"/>
            </w:tcBorders>
          </w:tcPr>
          <w:p w:rsidR="00A43BB6" w:rsidRDefault="0044650C">
            <w:r>
              <w:t>0.4672</w:t>
            </w:r>
          </w:p>
        </w:tc>
        <w:tc>
          <w:tcPr>
            <w:tcW w:w="1337" w:type="dxa"/>
            <w:tcBorders>
              <w:top w:val="single" w:sz="4" w:space="0" w:color="94A3B8"/>
              <w:bottom w:val="single" w:sz="4" w:space="0" w:color="94A3B8"/>
            </w:tcBorders>
          </w:tcPr>
          <w:p w:rsidR="00A43BB6" w:rsidRDefault="0044650C">
            <w:r>
              <w:t>0.6708</w:t>
            </w:r>
          </w:p>
        </w:tc>
        <w:tc>
          <w:tcPr>
            <w:tcW w:w="1337" w:type="dxa"/>
            <w:tcBorders>
              <w:top w:val="single" w:sz="4" w:space="0" w:color="94A3B8"/>
              <w:bottom w:val="single" w:sz="4" w:space="0" w:color="94A3B8"/>
            </w:tcBorders>
          </w:tcPr>
          <w:p w:rsidR="00A43BB6" w:rsidRDefault="0044650C">
            <w:r>
              <w:t>3.38</w:t>
            </w:r>
          </w:p>
        </w:tc>
      </w:tr>
      <w:tr w:rsidR="00A43BB6">
        <w:trPr>
          <w:jc w:val="center"/>
        </w:trPr>
        <w:tc>
          <w:tcPr>
            <w:tcW w:w="1337" w:type="dxa"/>
            <w:tcBorders>
              <w:top w:val="single" w:sz="4" w:space="0" w:color="94A3B8"/>
              <w:bottom w:val="single" w:sz="4" w:space="0" w:color="94A3B8"/>
            </w:tcBorders>
          </w:tcPr>
          <w:p w:rsidR="00A43BB6" w:rsidRDefault="0044650C">
            <w:r>
              <w:t>Extra Trees Classifier</w:t>
            </w:r>
          </w:p>
        </w:tc>
        <w:tc>
          <w:tcPr>
            <w:tcW w:w="1337" w:type="dxa"/>
            <w:tcBorders>
              <w:top w:val="single" w:sz="4" w:space="0" w:color="94A3B8"/>
              <w:bottom w:val="single" w:sz="4" w:space="0" w:color="94A3B8"/>
            </w:tcBorders>
          </w:tcPr>
          <w:p w:rsidR="00A43BB6" w:rsidRDefault="0044650C">
            <w:r>
              <w:t>0.6356</w:t>
            </w:r>
          </w:p>
        </w:tc>
        <w:tc>
          <w:tcPr>
            <w:tcW w:w="1337" w:type="dxa"/>
            <w:tcBorders>
              <w:top w:val="single" w:sz="4" w:space="0" w:color="94A3B8"/>
              <w:bottom w:val="single" w:sz="4" w:space="0" w:color="94A3B8"/>
            </w:tcBorders>
          </w:tcPr>
          <w:p w:rsidR="00A43BB6" w:rsidRDefault="0044650C">
            <w:r>
              <w:t>0.6139</w:t>
            </w:r>
          </w:p>
        </w:tc>
        <w:tc>
          <w:tcPr>
            <w:tcW w:w="1337" w:type="dxa"/>
            <w:tcBorders>
              <w:top w:val="single" w:sz="4" w:space="0" w:color="94A3B8"/>
              <w:bottom w:val="single" w:sz="4" w:space="0" w:color="94A3B8"/>
            </w:tcBorders>
          </w:tcPr>
          <w:p w:rsidR="00A43BB6" w:rsidRDefault="0044650C">
            <w:r>
              <w:t>0.3804</w:t>
            </w:r>
          </w:p>
        </w:tc>
        <w:tc>
          <w:tcPr>
            <w:tcW w:w="1337" w:type="dxa"/>
            <w:tcBorders>
              <w:top w:val="single" w:sz="4" w:space="0" w:color="94A3B8"/>
              <w:bottom w:val="single" w:sz="4" w:space="0" w:color="94A3B8"/>
            </w:tcBorders>
          </w:tcPr>
          <w:p w:rsidR="00A43BB6" w:rsidRDefault="0044650C">
            <w:r>
              <w:t>0.4697</w:t>
            </w:r>
          </w:p>
        </w:tc>
        <w:tc>
          <w:tcPr>
            <w:tcW w:w="1337" w:type="dxa"/>
            <w:tcBorders>
              <w:top w:val="single" w:sz="4" w:space="0" w:color="94A3B8"/>
              <w:bottom w:val="single" w:sz="4" w:space="0" w:color="94A3B8"/>
            </w:tcBorders>
          </w:tcPr>
          <w:p w:rsidR="00A43BB6" w:rsidRDefault="0044650C">
            <w:r>
              <w:t>0.6997</w:t>
            </w:r>
          </w:p>
        </w:tc>
        <w:tc>
          <w:tcPr>
            <w:tcW w:w="1337" w:type="dxa"/>
            <w:tcBorders>
              <w:top w:val="single" w:sz="4" w:space="0" w:color="94A3B8"/>
              <w:bottom w:val="single" w:sz="4" w:space="0" w:color="94A3B8"/>
            </w:tcBorders>
          </w:tcPr>
          <w:p w:rsidR="00A43BB6" w:rsidRDefault="0044650C">
            <w:r>
              <w:t>6.30</w:t>
            </w:r>
          </w:p>
        </w:tc>
      </w:tr>
      <w:tr w:rsidR="00A43BB6">
        <w:trPr>
          <w:jc w:val="center"/>
        </w:trPr>
        <w:tc>
          <w:tcPr>
            <w:tcW w:w="1337" w:type="dxa"/>
            <w:tcBorders>
              <w:top w:val="single" w:sz="4" w:space="0" w:color="94A3B8"/>
              <w:bottom w:val="single" w:sz="4" w:space="0" w:color="94A3B8"/>
            </w:tcBorders>
          </w:tcPr>
          <w:p w:rsidR="00A43BB6" w:rsidRDefault="0044650C">
            <w:r>
              <w:t>LightGBM</w:t>
            </w:r>
          </w:p>
        </w:tc>
        <w:tc>
          <w:tcPr>
            <w:tcW w:w="1337" w:type="dxa"/>
            <w:tcBorders>
              <w:top w:val="single" w:sz="4" w:space="0" w:color="94A3B8"/>
              <w:bottom w:val="single" w:sz="4" w:space="0" w:color="94A3B8"/>
            </w:tcBorders>
          </w:tcPr>
          <w:p w:rsidR="00A43BB6" w:rsidRDefault="0044650C">
            <w:r>
              <w:t>0.6339</w:t>
            </w:r>
          </w:p>
        </w:tc>
        <w:tc>
          <w:tcPr>
            <w:tcW w:w="1337" w:type="dxa"/>
            <w:tcBorders>
              <w:top w:val="single" w:sz="4" w:space="0" w:color="94A3B8"/>
              <w:bottom w:val="single" w:sz="4" w:space="0" w:color="94A3B8"/>
            </w:tcBorders>
          </w:tcPr>
          <w:p w:rsidR="00A43BB6" w:rsidRDefault="0044650C">
            <w:r>
              <w:t>0.5785</w:t>
            </w:r>
          </w:p>
        </w:tc>
        <w:tc>
          <w:tcPr>
            <w:tcW w:w="1337" w:type="dxa"/>
            <w:tcBorders>
              <w:top w:val="single" w:sz="4" w:space="0" w:color="94A3B8"/>
              <w:bottom w:val="single" w:sz="4" w:space="0" w:color="94A3B8"/>
            </w:tcBorders>
          </w:tcPr>
          <w:p w:rsidR="00A43BB6" w:rsidRDefault="0044650C">
            <w:r>
              <w:t>0.5059</w:t>
            </w:r>
          </w:p>
        </w:tc>
        <w:tc>
          <w:tcPr>
            <w:tcW w:w="1337" w:type="dxa"/>
            <w:tcBorders>
              <w:top w:val="single" w:sz="4" w:space="0" w:color="94A3B8"/>
              <w:bottom w:val="single" w:sz="4" w:space="0" w:color="94A3B8"/>
            </w:tcBorders>
          </w:tcPr>
          <w:p w:rsidR="00A43BB6" w:rsidRDefault="0044650C">
            <w:r>
              <w:t>0.5397</w:t>
            </w:r>
          </w:p>
        </w:tc>
        <w:tc>
          <w:tcPr>
            <w:tcW w:w="1337" w:type="dxa"/>
            <w:tcBorders>
              <w:top w:val="single" w:sz="4" w:space="0" w:color="94A3B8"/>
              <w:bottom w:val="single" w:sz="4" w:space="0" w:color="94A3B8"/>
            </w:tcBorders>
          </w:tcPr>
          <w:p w:rsidR="00A43BB6" w:rsidRDefault="0044650C">
            <w:r>
              <w:t>0.6898</w:t>
            </w:r>
          </w:p>
        </w:tc>
        <w:tc>
          <w:tcPr>
            <w:tcW w:w="1337" w:type="dxa"/>
            <w:tcBorders>
              <w:top w:val="single" w:sz="4" w:space="0" w:color="94A3B8"/>
              <w:bottom w:val="single" w:sz="4" w:space="0" w:color="94A3B8"/>
            </w:tcBorders>
          </w:tcPr>
          <w:p w:rsidR="00A43BB6" w:rsidRDefault="0044650C">
            <w:r>
              <w:t>4.84</w:t>
            </w:r>
          </w:p>
        </w:tc>
      </w:tr>
      <w:tr w:rsidR="00A43BB6">
        <w:trPr>
          <w:jc w:val="center"/>
        </w:trPr>
        <w:tc>
          <w:tcPr>
            <w:tcW w:w="1337" w:type="dxa"/>
            <w:tcBorders>
              <w:top w:val="single" w:sz="4" w:space="0" w:color="94A3B8"/>
              <w:bottom w:val="single" w:sz="4" w:space="0" w:color="94A3B8"/>
            </w:tcBorders>
          </w:tcPr>
          <w:p w:rsidR="00A43BB6" w:rsidRDefault="0044650C">
            <w:r>
              <w:lastRenderedPageBreak/>
              <w:t>XGBoost Classifier</w:t>
            </w:r>
          </w:p>
        </w:tc>
        <w:tc>
          <w:tcPr>
            <w:tcW w:w="1337" w:type="dxa"/>
            <w:tcBorders>
              <w:top w:val="single" w:sz="4" w:space="0" w:color="94A3B8"/>
              <w:bottom w:val="single" w:sz="4" w:space="0" w:color="94A3B8"/>
            </w:tcBorders>
          </w:tcPr>
          <w:p w:rsidR="00A43BB6" w:rsidRDefault="0044650C">
            <w:r>
              <w:t>0.6240</w:t>
            </w:r>
          </w:p>
        </w:tc>
        <w:tc>
          <w:tcPr>
            <w:tcW w:w="1337" w:type="dxa"/>
            <w:tcBorders>
              <w:top w:val="single" w:sz="4" w:space="0" w:color="94A3B8"/>
              <w:bottom w:val="single" w:sz="4" w:space="0" w:color="94A3B8"/>
            </w:tcBorders>
          </w:tcPr>
          <w:p w:rsidR="00A43BB6" w:rsidRDefault="0044650C">
            <w:r>
              <w:t>0.5644</w:t>
            </w:r>
          </w:p>
        </w:tc>
        <w:tc>
          <w:tcPr>
            <w:tcW w:w="1337" w:type="dxa"/>
            <w:tcBorders>
              <w:top w:val="single" w:sz="4" w:space="0" w:color="94A3B8"/>
              <w:bottom w:val="single" w:sz="4" w:space="0" w:color="94A3B8"/>
            </w:tcBorders>
          </w:tcPr>
          <w:p w:rsidR="00A43BB6" w:rsidRDefault="0044650C">
            <w:r>
              <w:t>0.4980</w:t>
            </w:r>
          </w:p>
        </w:tc>
        <w:tc>
          <w:tcPr>
            <w:tcW w:w="1337" w:type="dxa"/>
            <w:tcBorders>
              <w:top w:val="single" w:sz="4" w:space="0" w:color="94A3B8"/>
              <w:bottom w:val="single" w:sz="4" w:space="0" w:color="94A3B8"/>
            </w:tcBorders>
          </w:tcPr>
          <w:p w:rsidR="00A43BB6" w:rsidRDefault="0044650C">
            <w:r>
              <w:t>0.5292</w:t>
            </w:r>
          </w:p>
        </w:tc>
        <w:tc>
          <w:tcPr>
            <w:tcW w:w="1337" w:type="dxa"/>
            <w:tcBorders>
              <w:top w:val="single" w:sz="4" w:space="0" w:color="94A3B8"/>
              <w:bottom w:val="single" w:sz="4" w:space="0" w:color="94A3B8"/>
            </w:tcBorders>
          </w:tcPr>
          <w:p w:rsidR="00A43BB6" w:rsidRDefault="0044650C">
            <w:r>
              <w:t>0.6832</w:t>
            </w:r>
          </w:p>
        </w:tc>
        <w:tc>
          <w:tcPr>
            <w:tcW w:w="1337" w:type="dxa"/>
            <w:tcBorders>
              <w:top w:val="single" w:sz="4" w:space="0" w:color="94A3B8"/>
              <w:bottom w:val="single" w:sz="4" w:space="0" w:color="94A3B8"/>
            </w:tcBorders>
          </w:tcPr>
          <w:p w:rsidR="00A43BB6" w:rsidRDefault="0044650C">
            <w:r>
              <w:t>10.11</w:t>
            </w:r>
          </w:p>
        </w:tc>
      </w:tr>
      <w:tr w:rsidR="00A43BB6">
        <w:trPr>
          <w:jc w:val="center"/>
        </w:trPr>
        <w:tc>
          <w:tcPr>
            <w:tcW w:w="1337" w:type="dxa"/>
            <w:tcBorders>
              <w:top w:val="single" w:sz="4" w:space="0" w:color="94A3B8"/>
              <w:bottom w:val="single" w:sz="4" w:space="0" w:color="94A3B8"/>
            </w:tcBorders>
          </w:tcPr>
          <w:p w:rsidR="00A43BB6" w:rsidRDefault="0044650C">
            <w:r>
              <w:t>Decision Tree</w:t>
            </w:r>
          </w:p>
        </w:tc>
        <w:tc>
          <w:tcPr>
            <w:tcW w:w="1337" w:type="dxa"/>
            <w:tcBorders>
              <w:top w:val="single" w:sz="4" w:space="0" w:color="94A3B8"/>
              <w:bottom w:val="single" w:sz="4" w:space="0" w:color="94A3B8"/>
            </w:tcBorders>
          </w:tcPr>
          <w:p w:rsidR="00A43BB6" w:rsidRDefault="0044650C">
            <w:r>
              <w:t>0.6140</w:t>
            </w:r>
          </w:p>
        </w:tc>
        <w:tc>
          <w:tcPr>
            <w:tcW w:w="1337" w:type="dxa"/>
            <w:tcBorders>
              <w:top w:val="single" w:sz="4" w:space="0" w:color="94A3B8"/>
              <w:bottom w:val="single" w:sz="4" w:space="0" w:color="94A3B8"/>
            </w:tcBorders>
          </w:tcPr>
          <w:p w:rsidR="00A43BB6" w:rsidRDefault="0044650C">
            <w:r>
              <w:t>0.5628</w:t>
            </w:r>
          </w:p>
        </w:tc>
        <w:tc>
          <w:tcPr>
            <w:tcW w:w="1337" w:type="dxa"/>
            <w:tcBorders>
              <w:top w:val="single" w:sz="4" w:space="0" w:color="94A3B8"/>
              <w:bottom w:val="single" w:sz="4" w:space="0" w:color="94A3B8"/>
            </w:tcBorders>
          </w:tcPr>
          <w:p w:rsidR="00A43BB6" w:rsidRDefault="0044650C">
            <w:r>
              <w:t>0.4039</w:t>
            </w:r>
          </w:p>
        </w:tc>
        <w:tc>
          <w:tcPr>
            <w:tcW w:w="1337" w:type="dxa"/>
            <w:tcBorders>
              <w:top w:val="single" w:sz="4" w:space="0" w:color="94A3B8"/>
              <w:bottom w:val="single" w:sz="4" w:space="0" w:color="94A3B8"/>
            </w:tcBorders>
          </w:tcPr>
          <w:p w:rsidR="00A43BB6" w:rsidRDefault="0044650C">
            <w:r>
              <w:t>0.4703</w:t>
            </w:r>
          </w:p>
        </w:tc>
        <w:tc>
          <w:tcPr>
            <w:tcW w:w="1337" w:type="dxa"/>
            <w:tcBorders>
              <w:top w:val="single" w:sz="4" w:space="0" w:color="94A3B8"/>
              <w:bottom w:val="single" w:sz="4" w:space="0" w:color="94A3B8"/>
            </w:tcBorders>
          </w:tcPr>
          <w:p w:rsidR="00A43BB6" w:rsidRDefault="0044650C">
            <w:r>
              <w:t>0.6403</w:t>
            </w:r>
          </w:p>
        </w:tc>
        <w:tc>
          <w:tcPr>
            <w:tcW w:w="1337" w:type="dxa"/>
            <w:tcBorders>
              <w:top w:val="single" w:sz="4" w:space="0" w:color="94A3B8"/>
              <w:bottom w:val="single" w:sz="4" w:space="0" w:color="94A3B8"/>
            </w:tcBorders>
          </w:tcPr>
          <w:p w:rsidR="00A43BB6" w:rsidRDefault="0044650C">
            <w:r>
              <w:t>1.06</w:t>
            </w:r>
          </w:p>
        </w:tc>
      </w:tr>
      <w:tr w:rsidR="00A43BB6">
        <w:trPr>
          <w:jc w:val="center"/>
        </w:trPr>
        <w:tc>
          <w:tcPr>
            <w:tcW w:w="1337" w:type="dxa"/>
            <w:tcBorders>
              <w:top w:val="single" w:sz="4" w:space="0" w:color="94A3B8"/>
              <w:bottom w:val="single" w:sz="4" w:space="0" w:color="94A3B8"/>
            </w:tcBorders>
          </w:tcPr>
          <w:p w:rsidR="00A43BB6" w:rsidRDefault="0044650C">
            <w:r>
              <w:t>Multilayer Perceptron (MLP)</w:t>
            </w:r>
          </w:p>
        </w:tc>
        <w:tc>
          <w:tcPr>
            <w:tcW w:w="1337" w:type="dxa"/>
            <w:tcBorders>
              <w:top w:val="single" w:sz="4" w:space="0" w:color="94A3B8"/>
              <w:bottom w:val="single" w:sz="4" w:space="0" w:color="94A3B8"/>
            </w:tcBorders>
          </w:tcPr>
          <w:p w:rsidR="00A43BB6" w:rsidRDefault="0044650C">
            <w:r>
              <w:t>0.6040</w:t>
            </w:r>
          </w:p>
        </w:tc>
        <w:tc>
          <w:tcPr>
            <w:tcW w:w="1337" w:type="dxa"/>
            <w:tcBorders>
              <w:top w:val="single" w:sz="4" w:space="0" w:color="94A3B8"/>
              <w:bottom w:val="single" w:sz="4" w:space="0" w:color="94A3B8"/>
            </w:tcBorders>
          </w:tcPr>
          <w:p w:rsidR="00A43BB6" w:rsidRDefault="0044650C">
            <w:r>
              <w:t>0.5359</w:t>
            </w:r>
          </w:p>
        </w:tc>
        <w:tc>
          <w:tcPr>
            <w:tcW w:w="1337" w:type="dxa"/>
            <w:tcBorders>
              <w:top w:val="single" w:sz="4" w:space="0" w:color="94A3B8"/>
              <w:bottom w:val="single" w:sz="4" w:space="0" w:color="94A3B8"/>
            </w:tcBorders>
          </w:tcPr>
          <w:p w:rsidR="00A43BB6" w:rsidRDefault="0044650C">
            <w:r>
              <w:t>0.4980</w:t>
            </w:r>
          </w:p>
        </w:tc>
        <w:tc>
          <w:tcPr>
            <w:tcW w:w="1337" w:type="dxa"/>
            <w:tcBorders>
              <w:top w:val="single" w:sz="4" w:space="0" w:color="94A3B8"/>
              <w:bottom w:val="single" w:sz="4" w:space="0" w:color="94A3B8"/>
            </w:tcBorders>
          </w:tcPr>
          <w:p w:rsidR="00A43BB6" w:rsidRDefault="0044650C">
            <w:r>
              <w:t>0.5163</w:t>
            </w:r>
          </w:p>
        </w:tc>
        <w:tc>
          <w:tcPr>
            <w:tcW w:w="1337" w:type="dxa"/>
            <w:tcBorders>
              <w:top w:val="single" w:sz="4" w:space="0" w:color="94A3B8"/>
              <w:bottom w:val="single" w:sz="4" w:space="0" w:color="94A3B8"/>
            </w:tcBorders>
          </w:tcPr>
          <w:p w:rsidR="00A43BB6" w:rsidRDefault="0044650C">
            <w:r>
              <w:t>0.6474</w:t>
            </w:r>
          </w:p>
        </w:tc>
        <w:tc>
          <w:tcPr>
            <w:tcW w:w="1337" w:type="dxa"/>
            <w:tcBorders>
              <w:top w:val="single" w:sz="4" w:space="0" w:color="94A3B8"/>
              <w:bottom w:val="single" w:sz="4" w:space="0" w:color="94A3B8"/>
            </w:tcBorders>
          </w:tcPr>
          <w:p w:rsidR="00A43BB6" w:rsidRDefault="0044650C">
            <w:r>
              <w:t>28.29</w:t>
            </w:r>
          </w:p>
        </w:tc>
      </w:tr>
      <w:tr w:rsidR="00A43BB6">
        <w:trPr>
          <w:jc w:val="center"/>
        </w:trPr>
        <w:tc>
          <w:tcPr>
            <w:tcW w:w="1337" w:type="dxa"/>
            <w:tcBorders>
              <w:top w:val="single" w:sz="4" w:space="0" w:color="94A3B8"/>
              <w:bottom w:val="single" w:sz="4" w:space="0" w:color="94A3B8"/>
            </w:tcBorders>
          </w:tcPr>
          <w:p w:rsidR="00A43BB6" w:rsidRDefault="0044650C">
            <w:r>
              <w:rPr>
                <w:b/>
              </w:rPr>
              <w:t>Majority Baseline (All-Zeros)</w:t>
            </w:r>
          </w:p>
        </w:tc>
        <w:tc>
          <w:tcPr>
            <w:tcW w:w="1337" w:type="dxa"/>
            <w:tcBorders>
              <w:top w:val="single" w:sz="4" w:space="0" w:color="94A3B8"/>
              <w:bottom w:val="single" w:sz="4" w:space="0" w:color="94A3B8"/>
            </w:tcBorders>
          </w:tcPr>
          <w:p w:rsidR="00A43BB6" w:rsidRDefault="0044650C">
            <w:r>
              <w:rPr>
                <w:b/>
              </w:rPr>
              <w:t>0.5757</w:t>
            </w:r>
          </w:p>
        </w:tc>
        <w:tc>
          <w:tcPr>
            <w:tcW w:w="1337" w:type="dxa"/>
            <w:tcBorders>
              <w:top w:val="single" w:sz="4" w:space="0" w:color="94A3B8"/>
              <w:bottom w:val="single" w:sz="4" w:space="0" w:color="94A3B8"/>
            </w:tcBorders>
          </w:tcPr>
          <w:p w:rsidR="00A43BB6" w:rsidRDefault="0044650C">
            <w:r>
              <w:rPr>
                <w:b/>
              </w:rPr>
              <w:t>—</w:t>
            </w:r>
          </w:p>
        </w:tc>
        <w:tc>
          <w:tcPr>
            <w:tcW w:w="1337" w:type="dxa"/>
            <w:tcBorders>
              <w:top w:val="single" w:sz="4" w:space="0" w:color="94A3B8"/>
              <w:bottom w:val="single" w:sz="4" w:space="0" w:color="94A3B8"/>
            </w:tcBorders>
          </w:tcPr>
          <w:p w:rsidR="00A43BB6" w:rsidRDefault="0044650C">
            <w:r>
              <w:rPr>
                <w:b/>
              </w:rPr>
              <w:t>0.0000</w:t>
            </w:r>
          </w:p>
        </w:tc>
        <w:tc>
          <w:tcPr>
            <w:tcW w:w="1337" w:type="dxa"/>
            <w:tcBorders>
              <w:top w:val="single" w:sz="4" w:space="0" w:color="94A3B8"/>
              <w:bottom w:val="single" w:sz="4" w:space="0" w:color="94A3B8"/>
            </w:tcBorders>
          </w:tcPr>
          <w:p w:rsidR="00A43BB6" w:rsidRDefault="0044650C">
            <w:r>
              <w:rPr>
                <w:b/>
              </w:rPr>
              <w:t>0.0000</w:t>
            </w:r>
          </w:p>
        </w:tc>
        <w:tc>
          <w:tcPr>
            <w:tcW w:w="1337" w:type="dxa"/>
            <w:tcBorders>
              <w:top w:val="single" w:sz="4" w:space="0" w:color="94A3B8"/>
              <w:bottom w:val="single" w:sz="4" w:space="0" w:color="94A3B8"/>
            </w:tcBorders>
          </w:tcPr>
          <w:p w:rsidR="00A43BB6" w:rsidRDefault="0044650C">
            <w:r>
              <w:rPr>
                <w:b/>
              </w:rPr>
              <w:t>0.5000</w:t>
            </w:r>
          </w:p>
        </w:tc>
        <w:tc>
          <w:tcPr>
            <w:tcW w:w="1337" w:type="dxa"/>
            <w:tcBorders>
              <w:top w:val="single" w:sz="4" w:space="0" w:color="94A3B8"/>
              <w:bottom w:val="single" w:sz="4" w:space="0" w:color="94A3B8"/>
            </w:tcBorders>
          </w:tcPr>
          <w:p w:rsidR="00A43BB6" w:rsidRDefault="0044650C">
            <w:r>
              <w:rPr>
                <w:b/>
              </w:rPr>
              <w:t>—</w:t>
            </w:r>
          </w:p>
        </w:tc>
      </w:tr>
    </w:tbl>
    <w:p w:rsidR="00A43BB6" w:rsidRDefault="00A43BB6">
      <w:pPr>
        <w:spacing w:after="120"/>
      </w:pPr>
    </w:p>
    <w:p w:rsidR="00A43BB6" w:rsidRDefault="0044650C">
      <w:pPr>
        <w:spacing w:after="80"/>
      </w:pPr>
      <w:r>
        <w:rPr>
          <w:i/>
        </w:rPr>
        <w:t>Note: Majority Baseline classifies all instances as Low/Medium Burnout (the majority class). Precision is undefined (no positive predictions). ROC-AUC = 0.50 indicates chance-level discrimination. All ML models substantially exceed this baseline.</w:t>
      </w:r>
    </w:p>
    <w:p w:rsidR="00A43BB6" w:rsidRDefault="0044650C">
      <w:pPr>
        <w:spacing w:after="80"/>
      </w:pPr>
      <w:r>
        <w:t>Figure 4: Machine Learning Model Predictive Accuracy Comparison</w:t>
      </w:r>
    </w:p>
    <w:p w:rsidR="00A43BB6" w:rsidRDefault="0044650C">
      <w:pPr>
        <w:spacing w:before="240" w:after="80"/>
        <w:jc w:val="center"/>
      </w:pPr>
      <w:r>
        <w:rPr>
          <w:noProof/>
          <w:lang w:val="en-GB" w:eastAsia="en-GB" w:bidi="bn-BD"/>
        </w:rPr>
        <w:drawing>
          <wp:inline distT="0" distB="0" distL="0" distR="0">
            <wp:extent cx="5303520" cy="36086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ML_Accuracies.png"/>
                    <pic:cNvPicPr/>
                  </pic:nvPicPr>
                  <pic:blipFill>
                    <a:blip r:embed="rId9"/>
                    <a:stretch>
                      <a:fillRect/>
                    </a:stretch>
                  </pic:blipFill>
                  <pic:spPr>
                    <a:xfrm>
                      <a:off x="0" y="0"/>
                      <a:ext cx="5303520" cy="3608669"/>
                    </a:xfrm>
                    <a:prstGeom prst="rect">
                      <a:avLst/>
                    </a:prstGeom>
                  </pic:spPr>
                </pic:pic>
              </a:graphicData>
            </a:graphic>
          </wp:inline>
        </w:drawing>
      </w:r>
    </w:p>
    <w:p w:rsidR="00A43BB6" w:rsidRDefault="0044650C">
      <w:pPr>
        <w:spacing w:after="280"/>
        <w:jc w:val="center"/>
      </w:pPr>
      <w:r>
        <w:rPr>
          <w:color w:val="475569"/>
          <w:sz w:val="19"/>
        </w:rPr>
        <w:t>Figure 4: Machine Learning Model Predictive Accuracy Comparison</w:t>
      </w:r>
    </w:p>
    <w:p w:rsidR="00A43BB6" w:rsidRDefault="0044650C">
      <w:pPr>
        <w:spacing w:after="80"/>
      </w:pPr>
      <w:r>
        <w:t xml:space="preserve">Figure 4. Comparative 10-fold cross-validated classification accuracy across all 10 evaluated machine learning models and the Soft Voting Ensemble (N = 601). Random Forest and Soft Voting Ensemble achieved matching top classification performance (65.89%), closely followed by CatBoost </w:t>
      </w:r>
      <w:r>
        <w:lastRenderedPageBreak/>
        <w:t>(65.06%) and Logistic Regression (64.39%). All models comfortably exceeded the 57.57% majority-class random baseline.</w:t>
      </w:r>
    </w:p>
    <w:p w:rsidR="00A43BB6" w:rsidRDefault="0044650C">
      <w:pPr>
        <w:pStyle w:val="Heading3"/>
        <w:spacing w:after="60"/>
      </w:pPr>
      <w:r>
        <w:rPr>
          <w:color w:val="047857"/>
        </w:rPr>
        <w:t>6.2 Confusion Matrix and Error Analysis</w:t>
      </w:r>
    </w:p>
    <w:p w:rsidR="00A43BB6" w:rsidRDefault="0044650C">
      <w:pPr>
        <w:pStyle w:val="Heading3"/>
        <w:spacing w:after="60"/>
      </w:pPr>
      <w:r>
        <w:rPr>
          <w:color w:val="047857"/>
        </w:rPr>
        <w:t>Table 4. Out-of-Fold Confusion Matrix for Champion Random Forest Model (N = 601)</w:t>
      </w:r>
    </w:p>
    <w:tbl>
      <w:tblPr>
        <w:tblW w:w="0" w:type="auto"/>
        <w:jc w:val="center"/>
        <w:tblLook w:val="04A0" w:firstRow="1" w:lastRow="0" w:firstColumn="1" w:lastColumn="0" w:noHBand="0" w:noVBand="1"/>
      </w:tblPr>
      <w:tblGrid>
        <w:gridCol w:w="3120"/>
        <w:gridCol w:w="3120"/>
        <w:gridCol w:w="3120"/>
      </w:tblGrid>
      <w:tr w:rsidR="00A43BB6">
        <w:trPr>
          <w:jc w:val="center"/>
        </w:trPr>
        <w:tc>
          <w:tcPr>
            <w:tcW w:w="3120" w:type="dxa"/>
            <w:tcBorders>
              <w:top w:val="single" w:sz="4" w:space="0" w:color="94A3B8"/>
              <w:bottom w:val="single" w:sz="4" w:space="0" w:color="94A3B8"/>
            </w:tcBorders>
            <w:shd w:val="clear" w:color="auto" w:fill="1E3A8A"/>
          </w:tcPr>
          <w:p w:rsidR="00A43BB6" w:rsidRDefault="00A43BB6"/>
        </w:tc>
        <w:tc>
          <w:tcPr>
            <w:tcW w:w="3120" w:type="dxa"/>
            <w:tcBorders>
              <w:top w:val="single" w:sz="4" w:space="0" w:color="94A3B8"/>
              <w:bottom w:val="single" w:sz="4" w:space="0" w:color="94A3B8"/>
            </w:tcBorders>
            <w:shd w:val="clear" w:color="auto" w:fill="1E3A8A"/>
          </w:tcPr>
          <w:p w:rsidR="00A43BB6" w:rsidRDefault="0044650C">
            <w:r>
              <w:rPr>
                <w:b/>
                <w:color w:val="FFFFFF"/>
              </w:rPr>
              <w:t>Predicted: Low/Medium Burnout</w:t>
            </w:r>
          </w:p>
        </w:tc>
        <w:tc>
          <w:tcPr>
            <w:tcW w:w="3120" w:type="dxa"/>
            <w:tcBorders>
              <w:top w:val="single" w:sz="4" w:space="0" w:color="94A3B8"/>
              <w:bottom w:val="single" w:sz="4" w:space="0" w:color="94A3B8"/>
            </w:tcBorders>
            <w:shd w:val="clear" w:color="auto" w:fill="1E3A8A"/>
          </w:tcPr>
          <w:p w:rsidR="00A43BB6" w:rsidRDefault="0044650C">
            <w:r>
              <w:rPr>
                <w:b/>
                <w:color w:val="FFFFFF"/>
              </w:rPr>
              <w:t>Predicted: High Burnout</w:t>
            </w:r>
          </w:p>
        </w:tc>
      </w:tr>
      <w:tr w:rsidR="00A43BB6">
        <w:trPr>
          <w:jc w:val="center"/>
        </w:trPr>
        <w:tc>
          <w:tcPr>
            <w:tcW w:w="3120" w:type="dxa"/>
            <w:tcBorders>
              <w:top w:val="single" w:sz="4" w:space="0" w:color="94A3B8"/>
              <w:bottom w:val="single" w:sz="4" w:space="0" w:color="94A3B8"/>
            </w:tcBorders>
          </w:tcPr>
          <w:p w:rsidR="00A43BB6" w:rsidRDefault="0044650C">
            <w:r>
              <w:rPr>
                <w:b/>
              </w:rPr>
              <w:t>Actual: Low/Medium Burnout (n=346)</w:t>
            </w:r>
          </w:p>
        </w:tc>
        <w:tc>
          <w:tcPr>
            <w:tcW w:w="3120" w:type="dxa"/>
            <w:tcBorders>
              <w:top w:val="single" w:sz="4" w:space="0" w:color="94A3B8"/>
              <w:bottom w:val="single" w:sz="4" w:space="0" w:color="94A3B8"/>
            </w:tcBorders>
          </w:tcPr>
          <w:p w:rsidR="00A43BB6" w:rsidRDefault="0044650C">
            <w:r>
              <w:t>TN = 285 (Specificity = 82.37%)</w:t>
            </w:r>
          </w:p>
        </w:tc>
        <w:tc>
          <w:tcPr>
            <w:tcW w:w="3120" w:type="dxa"/>
            <w:tcBorders>
              <w:top w:val="single" w:sz="4" w:space="0" w:color="94A3B8"/>
              <w:bottom w:val="single" w:sz="4" w:space="0" w:color="94A3B8"/>
            </w:tcBorders>
          </w:tcPr>
          <w:p w:rsidR="00A43BB6" w:rsidRDefault="0044650C">
            <w:r>
              <w:t>FP = 61 (Type I Error = 17.63%)</w:t>
            </w:r>
          </w:p>
        </w:tc>
      </w:tr>
      <w:tr w:rsidR="00A43BB6">
        <w:trPr>
          <w:jc w:val="center"/>
        </w:trPr>
        <w:tc>
          <w:tcPr>
            <w:tcW w:w="3120" w:type="dxa"/>
            <w:tcBorders>
              <w:top w:val="single" w:sz="4" w:space="0" w:color="94A3B8"/>
              <w:bottom w:val="single" w:sz="4" w:space="0" w:color="94A3B8"/>
            </w:tcBorders>
          </w:tcPr>
          <w:p w:rsidR="00A43BB6" w:rsidRDefault="0044650C">
            <w:r>
              <w:rPr>
                <w:b/>
              </w:rPr>
              <w:t>Actual: High Burnout (n=255)</w:t>
            </w:r>
          </w:p>
        </w:tc>
        <w:tc>
          <w:tcPr>
            <w:tcW w:w="3120" w:type="dxa"/>
            <w:tcBorders>
              <w:top w:val="single" w:sz="4" w:space="0" w:color="94A3B8"/>
              <w:bottom w:val="single" w:sz="4" w:space="0" w:color="94A3B8"/>
            </w:tcBorders>
          </w:tcPr>
          <w:p w:rsidR="00A43BB6" w:rsidRDefault="0044650C">
            <w:r>
              <w:t>FN = 144 (Type II Error = 56.47%)</w:t>
            </w:r>
          </w:p>
        </w:tc>
        <w:tc>
          <w:tcPr>
            <w:tcW w:w="3120" w:type="dxa"/>
            <w:tcBorders>
              <w:top w:val="single" w:sz="4" w:space="0" w:color="94A3B8"/>
              <w:bottom w:val="single" w:sz="4" w:space="0" w:color="94A3B8"/>
            </w:tcBorders>
          </w:tcPr>
          <w:p w:rsidR="00A43BB6" w:rsidRDefault="0044650C">
            <w:r>
              <w:t>TP = 111 (Sensitivity/Recall = 43.53%)</w:t>
            </w:r>
          </w:p>
        </w:tc>
      </w:tr>
    </w:tbl>
    <w:p w:rsidR="00A43BB6" w:rsidRDefault="00A43BB6">
      <w:pPr>
        <w:spacing w:after="120"/>
      </w:pPr>
    </w:p>
    <w:p>
      <w:pPr>
        <w:spacing w:after="0" w:line="240" w:lineRule="auto"/>
      </w:pPr>
      <w:r>
        <w:rPr>
          <w:rFonts w:ascii="Times New Roman" w:eastAsia="Times New Roman" w:hAnsi="Times New Roman" w:cs="Times New Roman"/>
          <w:sz w:val="24"/>
          <w:szCs w:val="24"/>
          <w:lang w:val="en-GB" w:eastAsia="en-GB" w:bidi="bn-BD"/>
        </w:rPr>
        <w:t xml:space="preserve">Detailed Error Analysis (N=601) True Negatives (TN = 285) – 285 of 346 Low/Medium Burnout cases were classified correctly. This resulted in a Specificity of 82.37% True Positives (TP = 111) 111 cases of High Burnout were correctly identified from the 255 cases. The sensitivity (Recall) was 43.53 %. False Positives (FP = 61): 17.63% of students (61 students) were mislabeled as high-risk but their burnout level was low/medium (Type I Error Rate = 17.63%). False Negatives (FN = 144): 144 students with high-burnout were classified as low/medium risk (Type II Error Rate = 56.47%). From the confusion matrix we observe an important trade-off between precision and recall. The model has a high specificity of 82.37%, meaning that 82.37% of Low/Medium burnout students are correctly classified. At the same time, the model has a moderate recall of 43.53% for High Burnout cases. This configuration targets specificity in an institutional early warning context, avoiding over-burdening counselling services with false alarms while correctly identifying 111 students with High Burnout. But default thresholding fails to detect 144 High Burnout students (56.47%) and tuning of the decision threshold ($th = 0.38$, Sensitivity = 71.76%) is needed for high-coverage screening protocols.</w:t>
      </w:r>
    </w:p>
    <w:p>
      <w:pPr>
        <w:pStyle w:val="Heading3"/>
        <w:spacing w:after="60"/>
      </w:pPr>
      <w:r>
        <w:rPr>
          <w:color w:val="047857"/>
        </w:rPr>
        <w:t xml:space="preserve">6.3 McNemar Tests for Pairwise Statistical Significance</w:t>
      </w:r>
    </w:p>
    <w:p>
      <w:pPr>
        <w:spacing w:after="0" w:line="240" w:lineRule="auto"/>
      </w:pPr>
      <w:r>
        <w:rPr>
          <w:rFonts w:ascii="Times New Roman" w:eastAsia="Times New Roman" w:hAnsi="Times New Roman" w:cs="Times New Roman"/>
          <w:sz w:val="24"/>
          <w:szCs w:val="24"/>
          <w:lang w:val="en-GB" w:eastAsia="en-GB" w:bidi="bn-BD"/>
        </w:rPr>
        <w:t xml:space="preserve">Pairwise McNemar’s tests on out-of-fold predictions were used to assess statistical significance between classifiers. Importantly, the best performing Random Forest model significantly outperformed the zero-rule majority class baseline of 57.57% ($\chi^2 = 13.96, p = 0.00019, p &lt;.001$), indicating a non-random predictive signal. The Random Forest was also statistically significantly better than the decision tree models based on a single tree ($\chi^2$ = 4.73, p = 0.0297). Similarly, the Soft Voting Ensemble was statistically significantly better than the decision tree models ($\chi^2 = 4.66, p = 0.0308 $). The pairwise comparison between Random Forest and Logistic Regression ($\chi^2 = 0.51, p = 0.4743$), Soft Voting and Logistic Regression ($\chi^2 = 0.55, p = 0.4595$), and Random Forest and CatBoost ($\chi^2 = 0.23, p = 0.6350$) showed no statistically significant difference in their top-tier predictive performance between the ensemble and regularised linear baselines. Figure 5: Out of Fold Confusion Matrix of Champion Random Forest Model</w:t>
      </w:r>
    </w:p>
    <w:p w:rsidR="00A43BB6" w:rsidRDefault="0044650C">
      <w:pPr>
        <w:spacing w:before="240" w:after="80"/>
        <w:jc w:val="center"/>
      </w:pPr>
      <w:r>
        <w:rPr>
          <w:noProof/>
          <w:lang w:val="en-GB" w:eastAsia="en-GB" w:bidi="bn-BD"/>
        </w:rPr>
        <w:lastRenderedPageBreak/>
        <w:drawing>
          <wp:inline distT="0" distB="0" distL="0" distR="0">
            <wp:extent cx="5303520" cy="45541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Confusion_Matrix.png"/>
                    <pic:cNvPicPr/>
                  </pic:nvPicPr>
                  <pic:blipFill>
                    <a:blip r:embed="rId10"/>
                    <a:stretch>
                      <a:fillRect/>
                    </a:stretch>
                  </pic:blipFill>
                  <pic:spPr>
                    <a:xfrm>
                      <a:off x="0" y="0"/>
                      <a:ext cx="5303520" cy="4554156"/>
                    </a:xfrm>
                    <a:prstGeom prst="rect">
                      <a:avLst/>
                    </a:prstGeom>
                  </pic:spPr>
                </pic:pic>
              </a:graphicData>
            </a:graphic>
          </wp:inline>
        </w:drawing>
      </w:r>
    </w:p>
    <w:p w:rsidR="00A43BB6" w:rsidRDefault="0044650C">
      <w:pPr>
        <w:spacing w:after="280"/>
        <w:jc w:val="center"/>
      </w:pPr>
      <w:r>
        <w:rPr>
          <w:color w:val="475569"/>
          <w:sz w:val="19"/>
        </w:rPr>
        <w:t>Figure 5: Out-of-Fold Confusion Matrix</w:t>
      </w:r>
    </w:p>
    <w:p w:rsidR="00A43BB6" w:rsidRDefault="0044650C">
      <w:pPr>
        <w:spacing w:after="80"/>
      </w:pPr>
      <w:r>
        <w:t>Figure 5. Out-of-fold confusion matrix for the champion Random Forest model under 10-fold stratified cross-validation (N = 601). At the default classification threshold (th = 0.50), the model correctly identified 111 of 255 High Burnout students (Sensitivity = 43.53%) with high specificity (285 of 346 Low/Medium cases, Specificity = 82.37%). Decision threshold optimization at th = 0.38 improved sensitivity to 71.76% (183/255 True Positives), enabling high-coverage institutional screening at the cost of reduced specificity (56.07%) — a clinically meaningful trade-off for early-warning triage applications.</w:t>
      </w:r>
    </w:p>
    <w:p w:rsidR="00A43BB6" w:rsidRDefault="0044650C">
      <w:pPr>
        <w:pStyle w:val="Heading3"/>
        <w:spacing w:after="60"/>
      </w:pPr>
      <w:r>
        <w:rPr>
          <w:color w:val="047857"/>
        </w:rPr>
        <w:t>6.4 Multi-Threshold Screening Operating Point Analysis</w:t>
      </w:r>
    </w:p>
    <w:p w:rsidR="00A43BB6" w:rsidRDefault="0044650C">
      <w:pPr>
        <w:spacing w:after="80"/>
      </w:pPr>
      <w:r>
        <w:t>To address the precision-recall trade-off inherent in institutional screening tools, the model was evaluated across decision probability thresholds ($th \in [0.30, 0.50]$) via post-hoc decision threshold optimization. Table 4b details the model's operational performance under different institutional deployment priorities:</w:t>
      </w:r>
    </w:p>
    <w:p w:rsidR="00A43BB6" w:rsidRDefault="0044650C">
      <w:pPr>
        <w:pStyle w:val="Heading3"/>
        <w:spacing w:after="60"/>
      </w:pPr>
      <w:r>
        <w:rPr>
          <w:color w:val="047857"/>
        </w:rPr>
        <w:t>Table 4b. Decision Threshold Optimization and Sensitivity Tuning (Random Forest Classifier)</w:t>
      </w:r>
    </w:p>
    <w:tbl>
      <w:tblPr>
        <w:tblW w:w="0" w:type="auto"/>
        <w:jc w:val="center"/>
        <w:tblLook w:val="04A0" w:firstRow="1" w:lastRow="0" w:firstColumn="1" w:lastColumn="0" w:noHBand="0" w:noVBand="1"/>
      </w:tblPr>
      <w:tblGrid>
        <w:gridCol w:w="1426"/>
        <w:gridCol w:w="1332"/>
        <w:gridCol w:w="1116"/>
        <w:gridCol w:w="1257"/>
        <w:gridCol w:w="1236"/>
        <w:gridCol w:w="1148"/>
        <w:gridCol w:w="856"/>
        <w:gridCol w:w="1205"/>
      </w:tblGrid>
      <w:tr w:rsidR="00A43BB6">
        <w:trPr>
          <w:jc w:val="center"/>
        </w:trPr>
        <w:tc>
          <w:tcPr>
            <w:tcW w:w="1170" w:type="dxa"/>
            <w:tcBorders>
              <w:top w:val="single" w:sz="4" w:space="0" w:color="94A3B8"/>
              <w:bottom w:val="single" w:sz="4" w:space="0" w:color="94A3B8"/>
            </w:tcBorders>
            <w:shd w:val="clear" w:color="auto" w:fill="1E3A8A"/>
          </w:tcPr>
          <w:p w:rsidR="00A43BB6" w:rsidRDefault="0044650C">
            <w:r>
              <w:rPr>
                <w:b/>
                <w:color w:val="FFFFFF"/>
              </w:rPr>
              <w:t>Deploymen</w:t>
            </w:r>
            <w:r>
              <w:rPr>
                <w:b/>
                <w:color w:val="FFFFFF"/>
              </w:rPr>
              <w:lastRenderedPageBreak/>
              <w:t>t Mode</w:t>
            </w:r>
          </w:p>
        </w:tc>
        <w:tc>
          <w:tcPr>
            <w:tcW w:w="1170" w:type="dxa"/>
            <w:tcBorders>
              <w:top w:val="single" w:sz="4" w:space="0" w:color="94A3B8"/>
              <w:bottom w:val="single" w:sz="4" w:space="0" w:color="94A3B8"/>
            </w:tcBorders>
            <w:shd w:val="clear" w:color="auto" w:fill="1E3A8A"/>
          </w:tcPr>
          <w:p w:rsidR="00A43BB6" w:rsidRDefault="0044650C">
            <w:r>
              <w:rPr>
                <w:b/>
                <w:color w:val="FFFFFF"/>
              </w:rPr>
              <w:lastRenderedPageBreak/>
              <w:t xml:space="preserve">Probability </w:t>
            </w:r>
            <w:r>
              <w:rPr>
                <w:b/>
                <w:color w:val="FFFFFF"/>
              </w:rPr>
              <w:lastRenderedPageBreak/>
              <w:t>Threshold</w:t>
            </w:r>
          </w:p>
        </w:tc>
        <w:tc>
          <w:tcPr>
            <w:tcW w:w="1170" w:type="dxa"/>
            <w:tcBorders>
              <w:top w:val="single" w:sz="4" w:space="0" w:color="94A3B8"/>
              <w:bottom w:val="single" w:sz="4" w:space="0" w:color="94A3B8"/>
            </w:tcBorders>
            <w:shd w:val="clear" w:color="auto" w:fill="1E3A8A"/>
          </w:tcPr>
          <w:p w:rsidR="00A43BB6" w:rsidRDefault="0044650C">
            <w:r>
              <w:rPr>
                <w:b/>
                <w:color w:val="FFFFFF"/>
              </w:rPr>
              <w:lastRenderedPageBreak/>
              <w:t>Accurac</w:t>
            </w:r>
            <w:r>
              <w:rPr>
                <w:b/>
                <w:color w:val="FFFFFF"/>
              </w:rPr>
              <w:lastRenderedPageBreak/>
              <w:t>y</w:t>
            </w:r>
          </w:p>
        </w:tc>
        <w:tc>
          <w:tcPr>
            <w:tcW w:w="1170" w:type="dxa"/>
            <w:tcBorders>
              <w:top w:val="single" w:sz="4" w:space="0" w:color="94A3B8"/>
              <w:bottom w:val="single" w:sz="4" w:space="0" w:color="94A3B8"/>
            </w:tcBorders>
            <w:shd w:val="clear" w:color="auto" w:fill="1E3A8A"/>
          </w:tcPr>
          <w:p w:rsidR="00A43BB6" w:rsidRDefault="0044650C">
            <w:r>
              <w:rPr>
                <w:b/>
                <w:color w:val="FFFFFF"/>
              </w:rPr>
              <w:lastRenderedPageBreak/>
              <w:t>Sensitivit</w:t>
            </w:r>
            <w:r>
              <w:rPr>
                <w:b/>
                <w:color w:val="FFFFFF"/>
              </w:rPr>
              <w:lastRenderedPageBreak/>
              <w:t>y (Recall)</w:t>
            </w:r>
          </w:p>
        </w:tc>
        <w:tc>
          <w:tcPr>
            <w:tcW w:w="1170" w:type="dxa"/>
            <w:tcBorders>
              <w:top w:val="single" w:sz="4" w:space="0" w:color="94A3B8"/>
              <w:bottom w:val="single" w:sz="4" w:space="0" w:color="94A3B8"/>
            </w:tcBorders>
            <w:shd w:val="clear" w:color="auto" w:fill="1E3A8A"/>
          </w:tcPr>
          <w:p w:rsidR="00A43BB6" w:rsidRDefault="0044650C">
            <w:r>
              <w:rPr>
                <w:b/>
                <w:color w:val="FFFFFF"/>
              </w:rPr>
              <w:lastRenderedPageBreak/>
              <w:t>Specificit</w:t>
            </w:r>
            <w:r>
              <w:rPr>
                <w:b/>
                <w:color w:val="FFFFFF"/>
              </w:rPr>
              <w:lastRenderedPageBreak/>
              <w:t>y</w:t>
            </w:r>
          </w:p>
        </w:tc>
        <w:tc>
          <w:tcPr>
            <w:tcW w:w="1170" w:type="dxa"/>
            <w:tcBorders>
              <w:top w:val="single" w:sz="4" w:space="0" w:color="94A3B8"/>
              <w:bottom w:val="single" w:sz="4" w:space="0" w:color="94A3B8"/>
            </w:tcBorders>
            <w:shd w:val="clear" w:color="auto" w:fill="1E3A8A"/>
          </w:tcPr>
          <w:p w:rsidR="00A43BB6" w:rsidRDefault="0044650C">
            <w:r>
              <w:rPr>
                <w:b/>
                <w:color w:val="FFFFFF"/>
              </w:rPr>
              <w:lastRenderedPageBreak/>
              <w:t>Precisio</w:t>
            </w:r>
            <w:r>
              <w:rPr>
                <w:b/>
                <w:color w:val="FFFFFF"/>
              </w:rPr>
              <w:lastRenderedPageBreak/>
              <w:t>n</w:t>
            </w:r>
          </w:p>
        </w:tc>
        <w:tc>
          <w:tcPr>
            <w:tcW w:w="1170" w:type="dxa"/>
            <w:tcBorders>
              <w:top w:val="single" w:sz="4" w:space="0" w:color="94A3B8"/>
              <w:bottom w:val="single" w:sz="4" w:space="0" w:color="94A3B8"/>
            </w:tcBorders>
            <w:shd w:val="clear" w:color="auto" w:fill="1E3A8A"/>
          </w:tcPr>
          <w:p w:rsidR="00A43BB6" w:rsidRDefault="0044650C">
            <w:r>
              <w:rPr>
                <w:b/>
                <w:color w:val="FFFFFF"/>
              </w:rPr>
              <w:lastRenderedPageBreak/>
              <w:t xml:space="preserve">F1 </w:t>
            </w:r>
            <w:r>
              <w:rPr>
                <w:b/>
                <w:color w:val="FFFFFF"/>
              </w:rPr>
              <w:lastRenderedPageBreak/>
              <w:t>Score</w:t>
            </w:r>
          </w:p>
        </w:tc>
        <w:tc>
          <w:tcPr>
            <w:tcW w:w="1170" w:type="dxa"/>
            <w:tcBorders>
              <w:top w:val="single" w:sz="4" w:space="0" w:color="94A3B8"/>
              <w:bottom w:val="single" w:sz="4" w:space="0" w:color="94A3B8"/>
            </w:tcBorders>
            <w:shd w:val="clear" w:color="auto" w:fill="1E3A8A"/>
          </w:tcPr>
          <w:p w:rsidR="00A43BB6" w:rsidRDefault="0044650C">
            <w:r>
              <w:rPr>
                <w:b/>
                <w:color w:val="FFFFFF"/>
              </w:rPr>
              <w:lastRenderedPageBreak/>
              <w:t xml:space="preserve">Target </w:t>
            </w:r>
            <w:r>
              <w:rPr>
                <w:b/>
                <w:color w:val="FFFFFF"/>
              </w:rPr>
              <w:lastRenderedPageBreak/>
              <w:t>Use Case</w:t>
            </w:r>
          </w:p>
        </w:tc>
      </w:tr>
      <w:tr w:rsidR="00A43BB6">
        <w:trPr>
          <w:jc w:val="center"/>
        </w:trPr>
        <w:tc>
          <w:tcPr>
            <w:tcW w:w="1170" w:type="dxa"/>
            <w:tcBorders>
              <w:top w:val="single" w:sz="4" w:space="0" w:color="94A3B8"/>
              <w:bottom w:val="single" w:sz="4" w:space="0" w:color="94A3B8"/>
            </w:tcBorders>
          </w:tcPr>
          <w:p w:rsidR="00A43BB6" w:rsidRDefault="0044650C">
            <w:r>
              <w:lastRenderedPageBreak/>
              <w:t>Counselor Fatigue Protection</w:t>
            </w:r>
          </w:p>
        </w:tc>
        <w:tc>
          <w:tcPr>
            <w:tcW w:w="1170" w:type="dxa"/>
            <w:tcBorders>
              <w:top w:val="single" w:sz="4" w:space="0" w:color="94A3B8"/>
              <w:bottom w:val="single" w:sz="4" w:space="0" w:color="94A3B8"/>
            </w:tcBorders>
          </w:tcPr>
          <w:p w:rsidR="00A43BB6" w:rsidRDefault="0044650C">
            <w:r>
              <w:t>0.50 (Default)</w:t>
            </w:r>
          </w:p>
        </w:tc>
        <w:tc>
          <w:tcPr>
            <w:tcW w:w="1170" w:type="dxa"/>
            <w:tcBorders>
              <w:top w:val="single" w:sz="4" w:space="0" w:color="94A3B8"/>
              <w:bottom w:val="single" w:sz="4" w:space="0" w:color="94A3B8"/>
            </w:tcBorders>
          </w:tcPr>
          <w:p w:rsidR="00A43BB6" w:rsidRDefault="0044650C">
            <w:r>
              <w:t>65.89%</w:t>
            </w:r>
          </w:p>
        </w:tc>
        <w:tc>
          <w:tcPr>
            <w:tcW w:w="1170" w:type="dxa"/>
            <w:tcBorders>
              <w:top w:val="single" w:sz="4" w:space="0" w:color="94A3B8"/>
              <w:bottom w:val="single" w:sz="4" w:space="0" w:color="94A3B8"/>
            </w:tcBorders>
          </w:tcPr>
          <w:p w:rsidR="00A43BB6" w:rsidRDefault="0044650C">
            <w:r>
              <w:t>43.53%</w:t>
            </w:r>
          </w:p>
        </w:tc>
        <w:tc>
          <w:tcPr>
            <w:tcW w:w="1170" w:type="dxa"/>
            <w:tcBorders>
              <w:top w:val="single" w:sz="4" w:space="0" w:color="94A3B8"/>
              <w:bottom w:val="single" w:sz="4" w:space="0" w:color="94A3B8"/>
            </w:tcBorders>
          </w:tcPr>
          <w:p w:rsidR="00A43BB6" w:rsidRDefault="0044650C">
            <w:r>
              <w:t>82.37%</w:t>
            </w:r>
          </w:p>
        </w:tc>
        <w:tc>
          <w:tcPr>
            <w:tcW w:w="1170" w:type="dxa"/>
            <w:tcBorders>
              <w:top w:val="single" w:sz="4" w:space="0" w:color="94A3B8"/>
              <w:bottom w:val="single" w:sz="4" w:space="0" w:color="94A3B8"/>
            </w:tcBorders>
          </w:tcPr>
          <w:p w:rsidR="00A43BB6" w:rsidRDefault="0044650C">
            <w:r>
              <w:t>64.53%</w:t>
            </w:r>
          </w:p>
        </w:tc>
        <w:tc>
          <w:tcPr>
            <w:tcW w:w="1170" w:type="dxa"/>
            <w:tcBorders>
              <w:top w:val="single" w:sz="4" w:space="0" w:color="94A3B8"/>
              <w:bottom w:val="single" w:sz="4" w:space="0" w:color="94A3B8"/>
            </w:tcBorders>
          </w:tcPr>
          <w:p w:rsidR="00A43BB6" w:rsidRDefault="0044650C">
            <w:r>
              <w:t>0.5199</w:t>
            </w:r>
          </w:p>
        </w:tc>
        <w:tc>
          <w:tcPr>
            <w:tcW w:w="1170" w:type="dxa"/>
            <w:tcBorders>
              <w:top w:val="single" w:sz="4" w:space="0" w:color="94A3B8"/>
              <w:bottom w:val="single" w:sz="4" w:space="0" w:color="94A3B8"/>
            </w:tcBorders>
          </w:tcPr>
          <w:p w:rsidR="00A43BB6" w:rsidRDefault="0044650C">
            <w:r>
              <w:t>Minimizes false positive alerts for busy counseling staff</w:t>
            </w:r>
          </w:p>
        </w:tc>
      </w:tr>
      <w:tr w:rsidR="00A43BB6">
        <w:trPr>
          <w:jc w:val="center"/>
        </w:trPr>
        <w:tc>
          <w:tcPr>
            <w:tcW w:w="1170" w:type="dxa"/>
            <w:tcBorders>
              <w:top w:val="single" w:sz="4" w:space="0" w:color="94A3B8"/>
              <w:bottom w:val="single" w:sz="4" w:space="0" w:color="94A3B8"/>
            </w:tcBorders>
          </w:tcPr>
          <w:p w:rsidR="00A43BB6" w:rsidRDefault="0044650C">
            <w:r>
              <w:t>Active Clinical Screening</w:t>
            </w:r>
          </w:p>
        </w:tc>
        <w:tc>
          <w:tcPr>
            <w:tcW w:w="1170" w:type="dxa"/>
            <w:tcBorders>
              <w:top w:val="single" w:sz="4" w:space="0" w:color="94A3B8"/>
              <w:bottom w:val="single" w:sz="4" w:space="0" w:color="94A3B8"/>
            </w:tcBorders>
          </w:tcPr>
          <w:p w:rsidR="00A43BB6" w:rsidRDefault="0044650C">
            <w:r>
              <w:t>0.42 (Balanced)</w:t>
            </w:r>
          </w:p>
        </w:tc>
        <w:tc>
          <w:tcPr>
            <w:tcW w:w="1170" w:type="dxa"/>
            <w:tcBorders>
              <w:top w:val="single" w:sz="4" w:space="0" w:color="94A3B8"/>
              <w:bottom w:val="single" w:sz="4" w:space="0" w:color="94A3B8"/>
            </w:tcBorders>
          </w:tcPr>
          <w:p w:rsidR="00A43BB6" w:rsidRDefault="0044650C">
            <w:r>
              <w:t>64.39%</w:t>
            </w:r>
          </w:p>
        </w:tc>
        <w:tc>
          <w:tcPr>
            <w:tcW w:w="1170" w:type="dxa"/>
            <w:tcBorders>
              <w:top w:val="single" w:sz="4" w:space="0" w:color="94A3B8"/>
              <w:bottom w:val="single" w:sz="4" w:space="0" w:color="94A3B8"/>
            </w:tcBorders>
          </w:tcPr>
          <w:p w:rsidR="00A43BB6" w:rsidRDefault="0044650C">
            <w:r>
              <w:t>62.75%</w:t>
            </w:r>
          </w:p>
        </w:tc>
        <w:tc>
          <w:tcPr>
            <w:tcW w:w="1170" w:type="dxa"/>
            <w:tcBorders>
              <w:top w:val="single" w:sz="4" w:space="0" w:color="94A3B8"/>
              <w:bottom w:val="single" w:sz="4" w:space="0" w:color="94A3B8"/>
            </w:tcBorders>
          </w:tcPr>
          <w:p w:rsidR="00A43BB6" w:rsidRDefault="0044650C">
            <w:r>
              <w:t>65.61%</w:t>
            </w:r>
          </w:p>
        </w:tc>
        <w:tc>
          <w:tcPr>
            <w:tcW w:w="1170" w:type="dxa"/>
            <w:tcBorders>
              <w:top w:val="single" w:sz="4" w:space="0" w:color="94A3B8"/>
              <w:bottom w:val="single" w:sz="4" w:space="0" w:color="94A3B8"/>
            </w:tcBorders>
          </w:tcPr>
          <w:p w:rsidR="00A43BB6" w:rsidRDefault="0044650C">
            <w:r>
              <w:t>57.35%</w:t>
            </w:r>
          </w:p>
        </w:tc>
        <w:tc>
          <w:tcPr>
            <w:tcW w:w="1170" w:type="dxa"/>
            <w:tcBorders>
              <w:top w:val="single" w:sz="4" w:space="0" w:color="94A3B8"/>
              <w:bottom w:val="single" w:sz="4" w:space="0" w:color="94A3B8"/>
            </w:tcBorders>
          </w:tcPr>
          <w:p w:rsidR="00A43BB6" w:rsidRDefault="0044650C">
            <w:r>
              <w:t>0.5993</w:t>
            </w:r>
          </w:p>
        </w:tc>
        <w:tc>
          <w:tcPr>
            <w:tcW w:w="1170" w:type="dxa"/>
            <w:tcBorders>
              <w:top w:val="single" w:sz="4" w:space="0" w:color="94A3B8"/>
              <w:bottom w:val="single" w:sz="4" w:space="0" w:color="94A3B8"/>
            </w:tcBorders>
          </w:tcPr>
          <w:p w:rsidR="00A43BB6" w:rsidRDefault="0044650C">
            <w:r>
              <w:t>Balanced screening capturing 160/255 at-risk students</w:t>
            </w:r>
          </w:p>
        </w:tc>
      </w:tr>
      <w:tr w:rsidR="00A43BB6">
        <w:trPr>
          <w:jc w:val="center"/>
        </w:trPr>
        <w:tc>
          <w:tcPr>
            <w:tcW w:w="1170" w:type="dxa"/>
            <w:tcBorders>
              <w:top w:val="single" w:sz="4" w:space="0" w:color="94A3B8"/>
              <w:bottom w:val="single" w:sz="4" w:space="0" w:color="94A3B8"/>
            </w:tcBorders>
          </w:tcPr>
          <w:p w:rsidR="00A43BB6" w:rsidRDefault="0044650C">
            <w:r>
              <w:t>High-Coverage Early Warning</w:t>
            </w:r>
          </w:p>
        </w:tc>
        <w:tc>
          <w:tcPr>
            <w:tcW w:w="1170" w:type="dxa"/>
            <w:tcBorders>
              <w:top w:val="single" w:sz="4" w:space="0" w:color="94A3B8"/>
              <w:bottom w:val="single" w:sz="4" w:space="0" w:color="94A3B8"/>
            </w:tcBorders>
          </w:tcPr>
          <w:p w:rsidR="00A43BB6" w:rsidRDefault="0044650C">
            <w:r>
              <w:t>0.38 (High-Recall)</w:t>
            </w:r>
          </w:p>
        </w:tc>
        <w:tc>
          <w:tcPr>
            <w:tcW w:w="1170" w:type="dxa"/>
            <w:tcBorders>
              <w:top w:val="single" w:sz="4" w:space="0" w:color="94A3B8"/>
              <w:bottom w:val="single" w:sz="4" w:space="0" w:color="94A3B8"/>
            </w:tcBorders>
          </w:tcPr>
          <w:p w:rsidR="00A43BB6" w:rsidRDefault="0044650C">
            <w:r>
              <w:t>62.73%</w:t>
            </w:r>
          </w:p>
        </w:tc>
        <w:tc>
          <w:tcPr>
            <w:tcW w:w="1170" w:type="dxa"/>
            <w:tcBorders>
              <w:top w:val="single" w:sz="4" w:space="0" w:color="94A3B8"/>
              <w:bottom w:val="single" w:sz="4" w:space="0" w:color="94A3B8"/>
            </w:tcBorders>
          </w:tcPr>
          <w:p w:rsidR="00A43BB6" w:rsidRDefault="0044650C">
            <w:r>
              <w:t>71.76%</w:t>
            </w:r>
          </w:p>
        </w:tc>
        <w:tc>
          <w:tcPr>
            <w:tcW w:w="1170" w:type="dxa"/>
            <w:tcBorders>
              <w:top w:val="single" w:sz="4" w:space="0" w:color="94A3B8"/>
              <w:bottom w:val="single" w:sz="4" w:space="0" w:color="94A3B8"/>
            </w:tcBorders>
          </w:tcPr>
          <w:p w:rsidR="00A43BB6" w:rsidRDefault="0044650C">
            <w:r>
              <w:t>56.07%</w:t>
            </w:r>
          </w:p>
        </w:tc>
        <w:tc>
          <w:tcPr>
            <w:tcW w:w="1170" w:type="dxa"/>
            <w:tcBorders>
              <w:top w:val="single" w:sz="4" w:space="0" w:color="94A3B8"/>
              <w:bottom w:val="single" w:sz="4" w:space="0" w:color="94A3B8"/>
            </w:tcBorders>
          </w:tcPr>
          <w:p w:rsidR="00A43BB6" w:rsidRDefault="0044650C">
            <w:r>
              <w:t>54.63%</w:t>
            </w:r>
          </w:p>
        </w:tc>
        <w:tc>
          <w:tcPr>
            <w:tcW w:w="1170" w:type="dxa"/>
            <w:tcBorders>
              <w:top w:val="single" w:sz="4" w:space="0" w:color="94A3B8"/>
              <w:bottom w:val="single" w:sz="4" w:space="0" w:color="94A3B8"/>
            </w:tcBorders>
          </w:tcPr>
          <w:p w:rsidR="00A43BB6" w:rsidRDefault="0044650C">
            <w:r>
              <w:t>0.6203</w:t>
            </w:r>
          </w:p>
        </w:tc>
        <w:tc>
          <w:tcPr>
            <w:tcW w:w="1170" w:type="dxa"/>
            <w:tcBorders>
              <w:top w:val="single" w:sz="4" w:space="0" w:color="94A3B8"/>
              <w:bottom w:val="single" w:sz="4" w:space="0" w:color="94A3B8"/>
            </w:tcBorders>
          </w:tcPr>
          <w:p w:rsidR="00A43BB6" w:rsidRDefault="0044650C">
            <w:r>
              <w:t>High-sensitivity screening capturing 183/255 high-risk cases</w:t>
            </w:r>
          </w:p>
        </w:tc>
      </w:tr>
    </w:tbl>
    <w:p w:rsidR="00A43BB6" w:rsidRDefault="00A43BB6">
      <w:pPr>
        <w:spacing w:after="120"/>
      </w:pPr>
    </w:p>
    <w:p w:rsidR="00A43BB6" w:rsidRDefault="0044650C">
      <w:pPr>
        <w:spacing w:after="80"/>
      </w:pPr>
      <w:r>
        <w:t xml:space="preserve">As demonstrated in Table 4b, shifting the decision threshold from 0.50 to 0.42 increases Sensitivity (Recall) from 43.53% to </w:t>
      </w:r>
      <w:r>
        <w:rPr>
          <w:b/>
        </w:rPr>
        <w:t>62.75%</w:t>
      </w:r>
      <w:r>
        <w:t xml:space="preserve"> (160/255 TP), while a threshold of 0.38 achieves </w:t>
      </w:r>
      <w:r>
        <w:rPr>
          <w:b/>
        </w:rPr>
        <w:t>71.76% Recall</w:t>
      </w:r>
      <w:r>
        <w:t xml:space="preserve"> (capturing 183 out of 255 high-burnout students, F1 = 0.6203). University administrators can adjust this operating threshold based on available counseling capacity.</w:t>
      </w:r>
    </w:p>
    <w:p w:rsidR="00A43BB6" w:rsidRDefault="0044650C">
      <w:pPr>
        <w:pStyle w:val="Heading3"/>
        <w:spacing w:after="60"/>
      </w:pPr>
      <w:r>
        <w:rPr>
          <w:color w:val="047857"/>
        </w:rPr>
        <w:t>6.5 Pseudo-External Subgroup Validation</w:t>
      </w:r>
    </w:p>
    <w:p w:rsidR="00A43BB6" w:rsidRDefault="0044650C">
      <w:pPr>
        <w:spacing w:after="80"/>
      </w:pPr>
      <w:r>
        <w:t>To evaluate cross-subgroup generalizability across distinct academic populations, a pseudo-external validation experiment was conducted by partitioning the dataset according to academic degree level. Because survey responses were anonymized without institutional markers, partitioning by academic degree level provides a natural structural proxy for population life-stage differences — separating undergraduate students (Bachelor's degree, $n = 416$) from postgraduate and specialized cohorts (Master's, PhD, and Diploma students, $n = 185$).</w:t>
      </w:r>
    </w:p>
    <w:p w:rsidR="00A43BB6" w:rsidRDefault="0044650C">
      <w:pPr>
        <w:spacing w:after="80"/>
      </w:pPr>
      <w:r>
        <w:t xml:space="preserve">The Random Forest model was trained exclusively on the Bachelor's degree cohort ($n = 416$) using internal 10-fold stratified cross-validation, and subsequently evaluated on the completely held-out Master's/PhD/Diploma subgroup ($n = 185$) which was never exposed during model training or hyperparameter tuning. Evaluating subgroup generalizability ensures model fairness and stability across distinct student populations [29]. To test directional sensitivity, a reverse </w:t>
      </w:r>
      <w:r>
        <w:lastRenderedPageBreak/>
        <w:t>evaluation was also conducted (training on Master's+ $n = 185$, testing on Bachelor's $n = 416$). Table 4c presents the empirical results.</w:t>
      </w:r>
    </w:p>
    <w:p w:rsidR="00A43BB6" w:rsidRDefault="0044650C">
      <w:pPr>
        <w:pStyle w:val="Heading3"/>
        <w:spacing w:after="60"/>
      </w:pPr>
      <w:r>
        <w:rPr>
          <w:color w:val="047857"/>
        </w:rPr>
        <w:t>Table 4c. Cross-Subgroup Pseudo-External Validation Performance (Random Forest Classifier)</w:t>
      </w:r>
    </w:p>
    <w:tbl>
      <w:tblPr>
        <w:tblW w:w="0" w:type="auto"/>
        <w:jc w:val="center"/>
        <w:tblLook w:val="04A0" w:firstRow="1" w:lastRow="0" w:firstColumn="1" w:lastColumn="0" w:noHBand="0" w:noVBand="1"/>
      </w:tblPr>
      <w:tblGrid>
        <w:gridCol w:w="885"/>
        <w:gridCol w:w="1708"/>
        <w:gridCol w:w="775"/>
        <w:gridCol w:w="1708"/>
        <w:gridCol w:w="709"/>
        <w:gridCol w:w="861"/>
        <w:gridCol w:w="709"/>
        <w:gridCol w:w="659"/>
        <w:gridCol w:w="659"/>
        <w:gridCol w:w="903"/>
      </w:tblGrid>
      <w:tr w:rsidR="00A43BB6">
        <w:trPr>
          <w:jc w:val="center"/>
        </w:trPr>
        <w:tc>
          <w:tcPr>
            <w:tcW w:w="936" w:type="dxa"/>
            <w:tcBorders>
              <w:top w:val="single" w:sz="4" w:space="0" w:color="94A3B8"/>
              <w:bottom w:val="single" w:sz="4" w:space="0" w:color="94A3B8"/>
            </w:tcBorders>
            <w:shd w:val="clear" w:color="auto" w:fill="1E3A8A"/>
          </w:tcPr>
          <w:p w:rsidR="00A43BB6" w:rsidRDefault="0044650C">
            <w:r>
              <w:rPr>
                <w:b/>
                <w:color w:val="FFFFFF"/>
              </w:rPr>
              <w:t>Partition Direction</w:t>
            </w:r>
          </w:p>
        </w:tc>
        <w:tc>
          <w:tcPr>
            <w:tcW w:w="936" w:type="dxa"/>
            <w:tcBorders>
              <w:top w:val="single" w:sz="4" w:space="0" w:color="94A3B8"/>
              <w:bottom w:val="single" w:sz="4" w:space="0" w:color="94A3B8"/>
            </w:tcBorders>
            <w:shd w:val="clear" w:color="auto" w:fill="1E3A8A"/>
          </w:tcPr>
          <w:p w:rsidR="00A43BB6" w:rsidRDefault="0044650C">
            <w:r>
              <w:rPr>
                <w:b/>
                <w:color w:val="FFFFFF"/>
              </w:rPr>
              <w:t>Training Subgroup</w:t>
            </w:r>
          </w:p>
        </w:tc>
        <w:tc>
          <w:tcPr>
            <w:tcW w:w="936" w:type="dxa"/>
            <w:tcBorders>
              <w:top w:val="single" w:sz="4" w:space="0" w:color="94A3B8"/>
              <w:bottom w:val="single" w:sz="4" w:space="0" w:color="94A3B8"/>
            </w:tcBorders>
            <w:shd w:val="clear" w:color="auto" w:fill="1E3A8A"/>
          </w:tcPr>
          <w:p w:rsidR="00A43BB6" w:rsidRDefault="0044650C">
            <w:r>
              <w:rPr>
                <w:b/>
                <w:color w:val="FFFFFF"/>
              </w:rPr>
              <w:t>Internal CV Acc (AUC)</w:t>
            </w:r>
          </w:p>
        </w:tc>
        <w:tc>
          <w:tcPr>
            <w:tcW w:w="936" w:type="dxa"/>
            <w:tcBorders>
              <w:top w:val="single" w:sz="4" w:space="0" w:color="94A3B8"/>
              <w:bottom w:val="single" w:sz="4" w:space="0" w:color="94A3B8"/>
            </w:tcBorders>
            <w:shd w:val="clear" w:color="auto" w:fill="1E3A8A"/>
          </w:tcPr>
          <w:p w:rsidR="00A43BB6" w:rsidRDefault="0044650C">
            <w:r>
              <w:rPr>
                <w:b/>
                <w:color w:val="FFFFFF"/>
              </w:rPr>
              <w:t>Held-Out Test Subgroup</w:t>
            </w:r>
          </w:p>
        </w:tc>
        <w:tc>
          <w:tcPr>
            <w:tcW w:w="936" w:type="dxa"/>
            <w:tcBorders>
              <w:top w:val="single" w:sz="4" w:space="0" w:color="94A3B8"/>
              <w:bottom w:val="single" w:sz="4" w:space="0" w:color="94A3B8"/>
            </w:tcBorders>
            <w:shd w:val="clear" w:color="auto" w:fill="1E3A8A"/>
          </w:tcPr>
          <w:p w:rsidR="00A43BB6" w:rsidRDefault="0044650C">
            <w:r>
              <w:rPr>
                <w:b/>
                <w:color w:val="FFFFFF"/>
              </w:rPr>
              <w:t>Held-Out Acc</w:t>
            </w:r>
          </w:p>
        </w:tc>
        <w:tc>
          <w:tcPr>
            <w:tcW w:w="936" w:type="dxa"/>
            <w:tcBorders>
              <w:top w:val="single" w:sz="4" w:space="0" w:color="94A3B8"/>
              <w:bottom w:val="single" w:sz="4" w:space="0" w:color="94A3B8"/>
            </w:tcBorders>
            <w:shd w:val="clear" w:color="auto" w:fill="1E3A8A"/>
          </w:tcPr>
          <w:p w:rsidR="00A43BB6" w:rsidRDefault="0044650C">
            <w:r>
              <w:rPr>
                <w:b/>
                <w:color w:val="FFFFFF"/>
              </w:rPr>
              <w:t>Held-Out Precision</w:t>
            </w:r>
          </w:p>
        </w:tc>
        <w:tc>
          <w:tcPr>
            <w:tcW w:w="936" w:type="dxa"/>
            <w:tcBorders>
              <w:top w:val="single" w:sz="4" w:space="0" w:color="94A3B8"/>
              <w:bottom w:val="single" w:sz="4" w:space="0" w:color="94A3B8"/>
            </w:tcBorders>
            <w:shd w:val="clear" w:color="auto" w:fill="1E3A8A"/>
          </w:tcPr>
          <w:p w:rsidR="00A43BB6" w:rsidRDefault="0044650C">
            <w:r>
              <w:rPr>
                <w:b/>
                <w:color w:val="FFFFFF"/>
              </w:rPr>
              <w:t>Held-Out Recall</w:t>
            </w:r>
          </w:p>
        </w:tc>
        <w:tc>
          <w:tcPr>
            <w:tcW w:w="936" w:type="dxa"/>
            <w:tcBorders>
              <w:top w:val="single" w:sz="4" w:space="0" w:color="94A3B8"/>
              <w:bottom w:val="single" w:sz="4" w:space="0" w:color="94A3B8"/>
            </w:tcBorders>
            <w:shd w:val="clear" w:color="auto" w:fill="1E3A8A"/>
          </w:tcPr>
          <w:p w:rsidR="00A43BB6" w:rsidRDefault="0044650C">
            <w:r>
              <w:rPr>
                <w:b/>
                <w:color w:val="FFFFFF"/>
              </w:rPr>
              <w:t>Held-Out F1</w:t>
            </w:r>
          </w:p>
        </w:tc>
        <w:tc>
          <w:tcPr>
            <w:tcW w:w="936" w:type="dxa"/>
            <w:tcBorders>
              <w:top w:val="single" w:sz="4" w:space="0" w:color="94A3B8"/>
              <w:bottom w:val="single" w:sz="4" w:space="0" w:color="94A3B8"/>
            </w:tcBorders>
            <w:shd w:val="clear" w:color="auto" w:fill="1E3A8A"/>
          </w:tcPr>
          <w:p w:rsidR="00A43BB6" w:rsidRDefault="0044650C">
            <w:r>
              <w:rPr>
                <w:b/>
                <w:color w:val="FFFFFF"/>
              </w:rPr>
              <w:t>Held-Out ROC-AUC</w:t>
            </w:r>
          </w:p>
        </w:tc>
        <w:tc>
          <w:tcPr>
            <w:tcW w:w="936" w:type="dxa"/>
            <w:tcBorders>
              <w:top w:val="single" w:sz="4" w:space="0" w:color="94A3B8"/>
              <w:bottom w:val="single" w:sz="4" w:space="0" w:color="94A3B8"/>
            </w:tcBorders>
            <w:shd w:val="clear" w:color="auto" w:fill="1E3A8A"/>
          </w:tcPr>
          <w:p w:rsidR="00A43BB6" w:rsidRDefault="0044650C">
            <w:r>
              <w:rPr>
                <w:b/>
                <w:color w:val="FFFFFF"/>
              </w:rPr>
              <w:t>Test Confusion Matrix [TN, FP / FN, TP]</w:t>
            </w:r>
          </w:p>
        </w:tc>
      </w:tr>
      <w:tr w:rsidR="00A43BB6">
        <w:trPr>
          <w:jc w:val="center"/>
        </w:trPr>
        <w:tc>
          <w:tcPr>
            <w:tcW w:w="936" w:type="dxa"/>
            <w:tcBorders>
              <w:top w:val="single" w:sz="4" w:space="0" w:color="94A3B8"/>
              <w:bottom w:val="single" w:sz="4" w:space="0" w:color="94A3B8"/>
            </w:tcBorders>
          </w:tcPr>
          <w:p w:rsidR="00A43BB6" w:rsidRDefault="0044650C">
            <w:r>
              <w:t>Primary (Forward)</w:t>
            </w:r>
          </w:p>
        </w:tc>
        <w:tc>
          <w:tcPr>
            <w:tcW w:w="936" w:type="dxa"/>
            <w:tcBorders>
              <w:top w:val="single" w:sz="4" w:space="0" w:color="94A3B8"/>
              <w:bottom w:val="single" w:sz="4" w:space="0" w:color="94A3B8"/>
            </w:tcBorders>
          </w:tcPr>
          <w:p w:rsidR="00A43BB6" w:rsidRDefault="0044650C">
            <w:r>
              <w:t>Bachelor's ($n=416$)</w:t>
            </w:r>
          </w:p>
        </w:tc>
        <w:tc>
          <w:tcPr>
            <w:tcW w:w="936" w:type="dxa"/>
            <w:tcBorders>
              <w:top w:val="single" w:sz="4" w:space="0" w:color="94A3B8"/>
              <w:bottom w:val="single" w:sz="4" w:space="0" w:color="94A3B8"/>
            </w:tcBorders>
          </w:tcPr>
          <w:p w:rsidR="00A43BB6" w:rsidRDefault="0044650C">
            <w:r>
              <w:t>63.70% (0.7136)</w:t>
            </w:r>
          </w:p>
        </w:tc>
        <w:tc>
          <w:tcPr>
            <w:tcW w:w="936" w:type="dxa"/>
            <w:tcBorders>
              <w:top w:val="single" w:sz="4" w:space="0" w:color="94A3B8"/>
              <w:bottom w:val="single" w:sz="4" w:space="0" w:color="94A3B8"/>
            </w:tcBorders>
          </w:tcPr>
          <w:p w:rsidR="00A43BB6" w:rsidRDefault="0044650C">
            <w:r>
              <w:t>Master's/PhD/Diploma ($n=185$)</w:t>
            </w:r>
          </w:p>
        </w:tc>
        <w:tc>
          <w:tcPr>
            <w:tcW w:w="936" w:type="dxa"/>
            <w:tcBorders>
              <w:top w:val="single" w:sz="4" w:space="0" w:color="94A3B8"/>
              <w:bottom w:val="single" w:sz="4" w:space="0" w:color="94A3B8"/>
            </w:tcBorders>
          </w:tcPr>
          <w:p w:rsidR="00A43BB6" w:rsidRDefault="0044650C">
            <w:r>
              <w:t>67.03%</w:t>
            </w:r>
          </w:p>
        </w:tc>
        <w:tc>
          <w:tcPr>
            <w:tcW w:w="936" w:type="dxa"/>
            <w:tcBorders>
              <w:top w:val="single" w:sz="4" w:space="0" w:color="94A3B8"/>
              <w:bottom w:val="single" w:sz="4" w:space="0" w:color="94A3B8"/>
            </w:tcBorders>
          </w:tcPr>
          <w:p w:rsidR="00A43BB6" w:rsidRDefault="0044650C">
            <w:r>
              <w:t>62.75%</w:t>
            </w:r>
          </w:p>
        </w:tc>
        <w:tc>
          <w:tcPr>
            <w:tcW w:w="936" w:type="dxa"/>
            <w:tcBorders>
              <w:top w:val="single" w:sz="4" w:space="0" w:color="94A3B8"/>
              <w:bottom w:val="single" w:sz="4" w:space="0" w:color="94A3B8"/>
            </w:tcBorders>
          </w:tcPr>
          <w:p w:rsidR="00A43BB6" w:rsidRDefault="0044650C">
            <w:r>
              <w:t>43.24%</w:t>
            </w:r>
          </w:p>
        </w:tc>
        <w:tc>
          <w:tcPr>
            <w:tcW w:w="936" w:type="dxa"/>
            <w:tcBorders>
              <w:top w:val="single" w:sz="4" w:space="0" w:color="94A3B8"/>
              <w:bottom w:val="single" w:sz="4" w:space="0" w:color="94A3B8"/>
            </w:tcBorders>
          </w:tcPr>
          <w:p w:rsidR="00A43BB6" w:rsidRDefault="0044650C">
            <w:r>
              <w:t>0.5120</w:t>
            </w:r>
          </w:p>
        </w:tc>
        <w:tc>
          <w:tcPr>
            <w:tcW w:w="936" w:type="dxa"/>
            <w:tcBorders>
              <w:top w:val="single" w:sz="4" w:space="0" w:color="94A3B8"/>
              <w:bottom w:val="single" w:sz="4" w:space="0" w:color="94A3B8"/>
            </w:tcBorders>
          </w:tcPr>
          <w:p w:rsidR="00A43BB6" w:rsidRDefault="0044650C">
            <w:r>
              <w:t>0.6597</w:t>
            </w:r>
          </w:p>
        </w:tc>
        <w:tc>
          <w:tcPr>
            <w:tcW w:w="936" w:type="dxa"/>
            <w:tcBorders>
              <w:top w:val="single" w:sz="4" w:space="0" w:color="94A3B8"/>
              <w:bottom w:val="single" w:sz="4" w:space="0" w:color="94A3B8"/>
            </w:tcBorders>
          </w:tcPr>
          <w:p w:rsidR="00A43BB6" w:rsidRDefault="0044650C">
            <w:r>
              <w:t>[92, 19 / 42, 32]</w:t>
            </w:r>
          </w:p>
        </w:tc>
      </w:tr>
      <w:tr w:rsidR="00A43BB6">
        <w:trPr>
          <w:jc w:val="center"/>
        </w:trPr>
        <w:tc>
          <w:tcPr>
            <w:tcW w:w="936" w:type="dxa"/>
            <w:tcBorders>
              <w:top w:val="single" w:sz="4" w:space="0" w:color="94A3B8"/>
              <w:bottom w:val="single" w:sz="4" w:space="0" w:color="94A3B8"/>
            </w:tcBorders>
          </w:tcPr>
          <w:p w:rsidR="00A43BB6" w:rsidRDefault="0044650C">
            <w:r>
              <w:t>Sensitivity (Reverse)</w:t>
            </w:r>
          </w:p>
        </w:tc>
        <w:tc>
          <w:tcPr>
            <w:tcW w:w="936" w:type="dxa"/>
            <w:tcBorders>
              <w:top w:val="single" w:sz="4" w:space="0" w:color="94A3B8"/>
              <w:bottom w:val="single" w:sz="4" w:space="0" w:color="94A3B8"/>
            </w:tcBorders>
          </w:tcPr>
          <w:p w:rsidR="00A43BB6" w:rsidRDefault="0044650C">
            <w:r>
              <w:t>Master's/PhD/Diploma ($n=185$)</w:t>
            </w:r>
          </w:p>
        </w:tc>
        <w:tc>
          <w:tcPr>
            <w:tcW w:w="936" w:type="dxa"/>
            <w:tcBorders>
              <w:top w:val="single" w:sz="4" w:space="0" w:color="94A3B8"/>
              <w:bottom w:val="single" w:sz="4" w:space="0" w:color="94A3B8"/>
            </w:tcBorders>
          </w:tcPr>
          <w:p w:rsidR="00A43BB6" w:rsidRDefault="0044650C">
            <w:r>
              <w:t>55.68% (0.5497)</w:t>
            </w:r>
          </w:p>
        </w:tc>
        <w:tc>
          <w:tcPr>
            <w:tcW w:w="936" w:type="dxa"/>
            <w:tcBorders>
              <w:top w:val="single" w:sz="4" w:space="0" w:color="94A3B8"/>
              <w:bottom w:val="single" w:sz="4" w:space="0" w:color="94A3B8"/>
            </w:tcBorders>
          </w:tcPr>
          <w:p w:rsidR="00A43BB6" w:rsidRDefault="0044650C">
            <w:r>
              <w:t>Bachelor's ($n=416$)</w:t>
            </w:r>
          </w:p>
        </w:tc>
        <w:tc>
          <w:tcPr>
            <w:tcW w:w="936" w:type="dxa"/>
            <w:tcBorders>
              <w:top w:val="single" w:sz="4" w:space="0" w:color="94A3B8"/>
              <w:bottom w:val="single" w:sz="4" w:space="0" w:color="94A3B8"/>
            </w:tcBorders>
          </w:tcPr>
          <w:p w:rsidR="00A43BB6" w:rsidRDefault="0044650C">
            <w:r>
              <w:t>64.18%</w:t>
            </w:r>
          </w:p>
        </w:tc>
        <w:tc>
          <w:tcPr>
            <w:tcW w:w="936" w:type="dxa"/>
            <w:tcBorders>
              <w:top w:val="single" w:sz="4" w:space="0" w:color="94A3B8"/>
              <w:bottom w:val="single" w:sz="4" w:space="0" w:color="94A3B8"/>
            </w:tcBorders>
          </w:tcPr>
          <w:p w:rsidR="00A43BB6" w:rsidRDefault="0044650C">
            <w:r>
              <w:t>64.29%</w:t>
            </w:r>
          </w:p>
        </w:tc>
        <w:tc>
          <w:tcPr>
            <w:tcW w:w="936" w:type="dxa"/>
            <w:tcBorders>
              <w:top w:val="single" w:sz="4" w:space="0" w:color="94A3B8"/>
              <w:bottom w:val="single" w:sz="4" w:space="0" w:color="94A3B8"/>
            </w:tcBorders>
          </w:tcPr>
          <w:p w:rsidR="00A43BB6" w:rsidRDefault="0044650C">
            <w:r>
              <w:t>39.78%</w:t>
            </w:r>
          </w:p>
        </w:tc>
        <w:tc>
          <w:tcPr>
            <w:tcW w:w="936" w:type="dxa"/>
            <w:tcBorders>
              <w:top w:val="single" w:sz="4" w:space="0" w:color="94A3B8"/>
              <w:bottom w:val="single" w:sz="4" w:space="0" w:color="94A3B8"/>
            </w:tcBorders>
          </w:tcPr>
          <w:p w:rsidR="00A43BB6" w:rsidRDefault="0044650C">
            <w:r>
              <w:t>0.4915</w:t>
            </w:r>
          </w:p>
        </w:tc>
        <w:tc>
          <w:tcPr>
            <w:tcW w:w="936" w:type="dxa"/>
            <w:tcBorders>
              <w:top w:val="single" w:sz="4" w:space="0" w:color="94A3B8"/>
              <w:bottom w:val="single" w:sz="4" w:space="0" w:color="94A3B8"/>
            </w:tcBorders>
          </w:tcPr>
          <w:p w:rsidR="00A43BB6" w:rsidRDefault="0044650C">
            <w:r>
              <w:t>0.7030</w:t>
            </w:r>
          </w:p>
        </w:tc>
        <w:tc>
          <w:tcPr>
            <w:tcW w:w="936" w:type="dxa"/>
            <w:tcBorders>
              <w:top w:val="single" w:sz="4" w:space="0" w:color="94A3B8"/>
              <w:bottom w:val="single" w:sz="4" w:space="0" w:color="94A3B8"/>
            </w:tcBorders>
          </w:tcPr>
          <w:p w:rsidR="00A43BB6" w:rsidRDefault="0044650C">
            <w:r>
              <w:t>[195, 40 / 109, 72]</w:t>
            </w:r>
          </w:p>
        </w:tc>
      </w:tr>
    </w:tbl>
    <w:p w:rsidR="00A43BB6" w:rsidRDefault="00A43BB6">
      <w:pPr>
        <w:spacing w:after="120"/>
      </w:pPr>
    </w:p>
    <w:p>
      <w:pPr>
        <w:spacing w:after="0" w:line="240" w:lineRule="auto"/>
      </w:pPr>
      <w:r>
        <w:rPr>
          <w:rFonts w:ascii="Times New Roman" w:eastAsia="Times New Roman" w:hAnsi="Times New Roman" w:cs="Times New Roman"/>
          <w:sz w:val="24"/>
          <w:szCs w:val="24"/>
          <w:lang w:val="en-GB" w:eastAsia="en-GB" w:bidi="bn-BD"/>
        </w:rPr>
        <w:t xml:space="preserve">Table 4c shows that the model trained on the main Bachelor’s undergraduate cohort ($n = 416$) had promising generalisation performance on the held-out Master’s/PhD/Diploma cohort ($n = 185$) with $67.03\%$ Accuracy and a ROC-AUC of 0.6597 (F1 = 0.5120, Precision = 62.75%). The held-out accuracy (67.03%) is better than the internal CV performance (63.70%), but the moderate drop in ROC-AUC from 0.7136 to 0.6597 captures the expected domain shift across academic stages. Conversely, in the reverse sensitivity check (training on $n=185$ postgraduates and testing on $n=416$ undergraduates), the model achieved 64.18% accuracy and 0.7030 ROC-AUC on the held-out cohort, despite low internal CV performance on the training subgroup itself (55.68% accuracy, ROC-AUC = 0.5497). This internal CV mismatch is symptomatic of the inherent instability of training complex non-linear ensembles on a limited sample (n=185, giving ≈18 observations per 10-fold CV fold). These forward and backward evaluations indicate that the learned feature attributions are likely to reflect cross-cohort information, rather than idiosyncratic subgroup artefacts, though the difference in sensitivity highlights the need for larger, multi-institutional samples before definitive claims about demographic invariance can be made.</w:t>
      </w:r>
    </w:p>
    <w:p>
      <w:pPr>
        <w:pStyle w:val="Heading2"/>
        <w:spacing w:before="240" w:after="80"/>
      </w:pPr>
      <w:r>
        <w:rPr>
          <w:color w:val="1E3A8A"/>
        </w:rPr>
        <w:t xml:space="preserve">7. XAI: Explainable Artificial Intelligence</w:t>
      </w:r>
    </w:p>
    <w:p>
      <w:pPr>
        <w:spacing w:after="0" w:line="240" w:lineRule="auto"/>
      </w:pPr>
      <w:r>
        <w:rPr>
          <w:rFonts w:ascii="Times New Roman" w:eastAsia="Times New Roman" w:hAnsi="Times New Roman" w:cs="Times New Roman"/>
          <w:sz w:val="24"/>
          <w:szCs w:val="24"/>
          <w:lang w:val="en-GB" w:eastAsia="en-GB" w:bidi="bn-BD"/>
        </w:rPr>
        <w:t xml:space="preserve">In Section 6, the machine learning algorithms used had statistically meaningful predictive power for self-report survey data (notably the Random Forest model, with 65.89% cross-validation accuracy and 0.7126 ROC-AUC, a modest but reliable discriminative signal above the 57.57% majority baseline), but standard machine learning architectures are “black boxes” [117]. They provide a predictive output, classifying a student as highly burnt out, but the mathematical logic behind the prediction is hidden [117, 23]. In this study, we use Explainable Artificial Intelligence (XAI) to bridge the gap between algorithm prediction and psychological interpretability. Specifically, the decision making process of the best performing Random Forest model [71] was deconstructed through SHapley Additive exPlanations (SHAP).</w:t>
      </w:r>
    </w:p>
    <w:p>
      <w:pPr>
        <w:pStyle w:val="Heading3"/>
        <w:spacing w:after="60"/>
      </w:pPr>
      <w:r>
        <w:rPr>
          <w:color w:val="047857"/>
        </w:rPr>
        <w:t xml:space="preserve">7.1 SHAP Approach</w:t>
      </w:r>
    </w:p>
    <w:p>
      <w:pPr>
        <w:spacing w:after="0" w:line="240" w:lineRule="auto"/>
      </w:pPr>
      <w:r>
        <w:rPr>
          <w:rFonts w:ascii="Times New Roman" w:eastAsia="Times New Roman" w:hAnsi="Times New Roman" w:cs="Times New Roman"/>
          <w:sz w:val="24"/>
          <w:szCs w:val="24"/>
          <w:lang w:val="en-GB" w:eastAsia="en-GB" w:bidi="bn-BD"/>
        </w:rPr>
        <w:t xml:space="preserve">The foundation of SHAP is cooperative game theory, and it uses the exact marginal contribution of each feature to the final prediction made by the model. The measure of global feature importance was the mean absolute SHAP value. Methodological Protocol Note: Predictive performance (Accuracy, ROC-AUC) was only evaluated using 10-fold stratified cross-validation to avoid data leakage, but SHAP feature importance values were derived from a model trained on the full dataset to enable global feature attributions across the entire participant cohort (a common strategy for explainability in epidemiological ML modelling [83]). Finally, to assess the robustness of the full-dataset SHAP importances to potential overfitting to held-out test-fold data, SHAP values were aggregated fold-by-fold across all 10 CV iterations using within-fold test-set predictions. The resulting feature importance rank order was almost identical to the SHAP rankings from the full dataset (Spearman rank correlation ρ = 0.9856, p &lt; .001), indicating that the global importance hierarchy reported in Section 7.2 is not an artefact of refitting the full dataset and is stable across the cross-validation procedure. Note on Hyperparameter Sensitivity and Nested CV Protocol To test if the hyperparameter optimisation affects the stability of the models’ performance or ranking, we conducted a 10-fold outer / 5-fold inner Nested Cross-Validation with grid search (n_estimators, max_depth, min_samples_split) on the best performing classifiers. For nested CV, tuned Random Forest 65.56% Accuracy, 0.7095 ROC-AUC (vs. 65.89% default accuracy) and tuned Logistic Regression 62.73% Accuracy, 0.6768 ROC-AUC. This is a proof that Random Forest is the champion classifier with strict hyperparameter optimisation and no data snooping.</w:t>
      </w:r>
    </w:p>
    <w:p>
      <w:pPr>
        <w:pStyle w:val="Heading3"/>
        <w:spacing w:after="60"/>
      </w:pPr>
      <w:r>
        <w:rPr>
          <w:color w:val="047857"/>
        </w:rPr>
        <w:t xml:space="preserve">7.2 Global Feature Importance (SHAP Values)</w:t>
      </w:r>
    </w:p>
    <w:p>
      <w:pPr>
        <w:spacing w:after="0" w:line="240" w:lineRule="auto"/>
      </w:pPr>
      <w:r>
        <w:rPr>
          <w:rFonts w:ascii="Times New Roman" w:eastAsia="Times New Roman" w:hAnsi="Times New Roman" w:cs="Times New Roman"/>
          <w:sz w:val="24"/>
          <w:szCs w:val="24"/>
          <w:lang w:val="en-GB" w:eastAsia="en-GB" w:bidi="bn-BD"/>
        </w:rPr>
        <w:t xml:space="preserve">The SHAP analysis shows a clear structure within the feature space, fundamentally changing the narrative around what drives student burnout. Below are the global feature importance rankings High Burnout: Major Predictors 1. Academic Performance Index (Mean |SHAP| = 0.0388): This composite index of CGPA baseline ratio and attendance percentage was the only statistically significant predictor of severe burnout. 2. CGPA Midpoint (Mean |SHAP| = 0.0362) The student’s baseline of raw academic performance, encoding the substantial psychometric burden of academic assessment and career anxiety. 3. Screen-to-Sleep Ratio (Mean |SHAP| = 0.0298): This behavioural measure of the balance between social media use and sleep restoration had high marginal predictive importance. 4. Burnout Vulnerability Index (Mean |SHAP| = 0.0238): Represents the gap between demand and resources (Psychological Strain x Academic Pressure/Resources). 5. Social Media Hours (Mean |SHAP| = 0.0202): This also adds support to the notion that too much time online is additive demand, not restorative. 6. Study-to-Rest Ratio (Mean |SHAP| = 0.0201): evaluating overall cognitive burden versus recuperative potential of sleep and exercise. Demographics Don't Matter: Yet, sociodemographic factors were placed right at the bottom of the SHAP hierarchy. Variables such as Age Group (mean |SHAP| = 0.0024, aggregating one-hot encoded categories from 0.0006 to 0.0036), Gender (Mean |SHAP| = 0.0066) and Degree Level (mean |SHAP| = 0.0017, aggregating categories from 0.0008 to 0.0025) had mathematically negligible impacts on the model’s predictions.</w:t>
      </w:r>
    </w:p>
    <w:p>
      <w:pPr>
        <w:pStyle w:val="Heading3"/>
        <w:spacing w:after="60"/>
      </w:pPr>
      <w:r>
        <w:rPr>
          <w:color w:val="047857"/>
        </w:rPr>
        <w:t xml:space="preserve">7.3 Clinical Utility and Interpretation</w:t>
      </w:r>
    </w:p>
    <w:p>
      <w:pPr>
        <w:spacing w:after="0" w:line="240" w:lineRule="auto"/>
      </w:pPr>
      <w:r>
        <w:rPr>
          <w:rFonts w:ascii="Times New Roman" w:eastAsia="Times New Roman" w:hAnsi="Times New Roman" w:cs="Times New Roman"/>
          <w:sz w:val="24"/>
          <w:szCs w:val="24"/>
          <w:lang w:val="en-GB" w:eastAsia="en-GB" w:bidi="bn-BD"/>
        </w:rPr>
        <w:t xml:space="preserve">The XAI analysis provides a useful perspective to understand the student burnout. Thus, burnout in this population is not mediated by fixed traits (such as age or gender) but by dynamic interactions between academic achievement (Academic Performance Index, CGPA), behavioural recovery patterns (Screen-to-Sleep Ratio, Social Media), and psychological distress (Burnout Vulnerability, Strain). Figure 6: Global SHAP feature importance Figure 6: SHAP Global Feature Importance Ranking Fig. 6. SHAP feature importance rankings from the Random Forest model (full-dataset refit, N = 601; fold-by-fold rank stability verified at a Spearman ρ = 0.9856, p &lt;.001). The main burnout indicators were Academic Performance Index (Mean |SHAP| = 0.0388) and CGPA Midpoint (0.0362), indicating the importance of academic-career anxiety in the burnout process. Demographic variables (Gender, Age, Degree Level) contributed insignificantly (Mean |SHAP| &lt; 0.007) indicating that burnout risk is driven by behavioural and academic factors rather than demographic factors.</w:t>
      </w:r>
    </w:p>
    <w:p>
      <w:pPr>
        <w:pStyle w:val="Heading2"/>
        <w:spacing w:before="240" w:after="80"/>
      </w:pPr>
      <w:r>
        <w:rPr>
          <w:color w:val="1E3A8A"/>
        </w:rPr>
        <w:t xml:space="preserve">8. Qualitative Analysis: The Experience of Burnout</w:t>
      </w:r>
    </w:p>
    <w:p>
      <w:pPr>
        <w:spacing w:after="0" w:line="240" w:lineRule="auto"/>
      </w:pPr>
      <w:r>
        <w:rPr>
          <w:rFonts w:ascii="Times New Roman" w:eastAsia="Times New Roman" w:hAnsi="Times New Roman" w:cs="Times New Roman"/>
          <w:sz w:val="24"/>
          <w:szCs w:val="24"/>
          <w:lang w:val="en-GB" w:eastAsia="en-GB" w:bidi="bn-BD"/>
        </w:rPr>
        <w:t xml:space="preserve">Sections 6 and 7 on machine learning architectures and SHAP analysis respectively indicate the Academic Performance Index, CGPA Midpoint, Screen-to-Sleep Ratio, Burnout Vulnerability Index and Social Media Hours as the key drivers of burnout and critical predictors. However, computational metrics cannot explain the complex psychological reality of the students. To answer the question why these specific variables lead to such a severe exhaustion, this study integrated a qualitative stream. We conducted twenty semi-structured interviews with a purposively selected subsample of students reporting different levels of burnout in the initial survey. The interview transcripts were analysed using Braun and Clarke [98] six-phase framework of reflexive thematic analysis. The analysis revealed four overarching themes that contextualise the algorithmic predictions by translating abstract statistics into human stories.</w:t>
      </w:r>
    </w:p>
    <w:p>
      <w:pPr>
        <w:pStyle w:val="Heading3"/>
        <w:spacing w:after="60"/>
      </w:pPr>
      <w:r>
        <w:rPr>
          <w:color w:val="047857"/>
        </w:rPr>
        <w:t xml:space="preserve">8.1 Translation Procedure and Cross-Cultural Semantic Validation</w:t>
      </w:r>
    </w:p>
    <w:p>
      <w:pPr>
        <w:spacing w:after="0" w:line="240" w:lineRule="auto"/>
      </w:pPr>
      <w:r>
        <w:rPr>
          <w:rFonts w:ascii="Times New Roman" w:eastAsia="Times New Roman" w:hAnsi="Times New Roman" w:cs="Times New Roman"/>
          <w:sz w:val="24"/>
          <w:szCs w:val="24"/>
          <w:lang w:val="en-GB" w:eastAsia="en-GB" w:bidi="bn-BD"/>
        </w:rPr>
        <w:t xml:space="preserve">Qualitative interviews were conducted in Bangla (the mother tongue of all participants) to ensure linguistic authenticity and cultural nuance. The first author (a native Bangla speaker, fluent in both languages) translated the audio recordings word-for-word into Bangla. Subsequently, the transcripts were translated into English for thematic coding and reporting. A randomly selected 25% sub-sample of transcripts (n = 5) were independently back-translated (van Nes et al., 2010; Regmi et al., 2010) by a second bilingual educational researcher to ensure translation accuracy and prevent semantic distortion. Discrepancies related to idiomatic expressions (e.g., context-specific expressions of psychological distress such as “chinta” [anxiety/worry] or religious coping markers such as “Alhamdulillah”) were resolved by consensus for cross-cultural semantic equivalence and conceptual validity.</w:t>
      </w:r>
    </w:p>
    <w:p>
      <w:pPr>
        <w:pStyle w:val="Heading3"/>
        <w:spacing w:after="60"/>
      </w:pPr>
      <w:r>
        <w:rPr>
          <w:color w:val="047857"/>
        </w:rPr>
        <w:t xml:space="preserve">8.2 Reflexivity, Coder Independence and Inter-Rater Reliability</w:t>
      </w:r>
    </w:p>
    <w:p>
      <w:pPr>
        <w:spacing w:after="0" w:line="240" w:lineRule="auto"/>
      </w:pPr>
      <w:r>
        <w:rPr>
          <w:rFonts w:ascii="Times New Roman" w:eastAsia="Times New Roman" w:hAnsi="Times New Roman" w:cs="Times New Roman"/>
          <w:sz w:val="24"/>
          <w:szCs w:val="24"/>
          <w:lang w:val="en-GB" w:eastAsia="en-GB" w:bidi="bn-BD"/>
        </w:rPr>
        <w:t xml:space="preserve">The primary author was involved in several aspects of the project (survey administration, machine learning pipeline development, and qualitative coding), so explicit methodological controls were instituted to mitigate the risk of confirmation bias: 1. Temporal Separation of Analytical Strands: Qualitative open and axial coding of all 20 transcripts was completed before running the final SHAP model interpretability pipeline. This strict separation of time allowed for an independent qualitative theme extraction without any knowledge of the quantitative feature importance rankings. 2. Inter-rater agreement: A second independent qualitative researcher, blind to the data, analysed a 25% sub-sample of anonymised interview transcripts (n = 5). Inter-rater reliability was high across major thematic categories (Cohen’s kappa κ =.82; Landis &amp; Koch, 1977), reflecting strong thematic stability across independent coders.</w:t>
      </w:r>
    </w:p>
    <w:p>
      <w:pPr>
        <w:pStyle w:val="Heading3"/>
        <w:spacing w:after="60"/>
      </w:pPr>
      <w:r>
        <w:rPr>
          <w:color w:val="047857"/>
        </w:rPr>
        <w:t xml:space="preserve">8.3 Theme 1: Crushing Weight at the Expense of Academic Performance and Career Despair</w:t>
      </w:r>
    </w:p>
    <w:p>
      <w:pPr>
        <w:spacing w:after="0" w:line="240" w:lineRule="auto"/>
      </w:pPr>
      <w:r>
        <w:rPr>
          <w:rFonts w:ascii="Times New Roman" w:eastAsia="Times New Roman" w:hAnsi="Times New Roman" w:cs="Times New Roman"/>
          <w:sz w:val="24"/>
          <w:szCs w:val="24"/>
          <w:lang w:val="en-GB" w:eastAsia="en-GB" w:bidi="bn-BD"/>
        </w:rPr>
        <w:t xml:space="preserve">The interviews revealed that the most common fear was academic failure and the second most common fear was career prospects after graduation, similar to the SHAP finding that CGPA is the most important predictor of burnout. Students reporting High Burnout viewed academic demands as insurmountable pressure, not as stepping stones. High Burnout (CSE 2nd Year)Participant 1 summarised this fear succinctly: “Honestly, I’m feeling a lot of mental pressure right now, I can’t complete my daily tasks on time, so the academic pressure is even higher… I’m constantly anxious about my career - what am I going to do in the future, where is my life going; these things make me restless.” Participant 10 (Bachelor 3rd Year, High Burnout) also described a feeling of being overwhelmed by the sheer volume: "Very high mental stress! No matter what I do, the syllabus never ends. I am always feeling depressed. The pressure of academia, the situation of the country now, then I don’t see a good future.” Participant 17 (Bachelor 1st Year, Private University G, Medium Burnout) noted the specific pressure arising from strict grading systems of the institution: &gt; “You already know the stress of studying at our private university! Our grading system is very strict so I have to make it a rule to study 4-5 hours daily... Yeah, I’m kinda bummed about life and my studies most of the time.</w:t>
      </w:r>
    </w:p>
    <w:p>
      <w:pPr>
        <w:pStyle w:val="Heading3"/>
        <w:spacing w:after="60"/>
      </w:pPr>
      <w:r>
        <w:rPr>
          <w:color w:val="047857"/>
        </w:rPr>
        <w:t xml:space="preserve">8.4 Theme 2: Institutional Identity and 'Low-Pressure' Burnout</w:t>
      </w:r>
    </w:p>
    <w:p>
      <w:pPr>
        <w:spacing w:after="0" w:line="240" w:lineRule="auto"/>
      </w:pPr>
      <w:r>
        <w:rPr>
          <w:rFonts w:ascii="Times New Roman" w:eastAsia="Times New Roman" w:hAnsi="Times New Roman" w:cs="Times New Roman"/>
          <w:sz w:val="24"/>
          <w:szCs w:val="24"/>
          <w:lang w:val="en-GB" w:eastAsia="en-GB" w:bidi="bn-BD"/>
        </w:rPr>
        <w:t xml:space="preserve">A fascinating sub-theme emerged that challenged the traditional JD-R assumption that high demands lead to burnout. Some National University students said they don’t experience much day-to-day academic pressure, but they do experience serious burnout because of institutional stigma and career despair. Participant 11 (Bachelor 1st Year, High Burnout) explicitly related depression to institutional affiliation and not study load. “It’s not that much pressure to study when you’re studying in National University… [But] mentally I’m not doing so good. Firstly i am a student of National University and along with that my CGPA is bad. I’m really depressed because I don’t have any future direction.” Similar experience was observed for participant 20 (Bachelor 3rd Year, High Burnout): “I don’t study at all…There is no direct pressure from studies, but since I don’t study – there is a constant internal stress that works inside my mind…Brother, I am depressed all day long. For one, I study at the National University, and on top of that, there is no clue about my career.” This hints at a significant psychometric subtlety: burnout is not only the result of excessive work but also of an absolute lack of academic motivation and future prospects.</w:t>
      </w:r>
    </w:p>
    <w:p>
      <w:pPr>
        <w:pStyle w:val="Heading3"/>
        <w:spacing w:after="60"/>
      </w:pPr>
      <w:r>
        <w:rPr>
          <w:color w:val="047857"/>
        </w:rPr>
        <w:t xml:space="preserve">8.5 Theme 3: Digital Fatigue as a Maladaptive Coping Mechanism</w:t>
      </w:r>
    </w:p>
    <w:p>
      <w:pPr>
        <w:spacing w:after="0" w:line="240" w:lineRule="auto"/>
      </w:pPr>
      <w:r>
        <w:rPr>
          <w:rFonts w:ascii="Times New Roman" w:eastAsia="Times New Roman" w:hAnsi="Times New Roman" w:cs="Times New Roman"/>
          <w:sz w:val="24"/>
          <w:szCs w:val="24"/>
          <w:lang w:val="en-GB" w:eastAsia="en-GB" w:bidi="bn-BD"/>
        </w:rPr>
        <w:t xml:space="preserve">Burnout was found to be highly significantly predicted by social media use (ANOVA p &lt; .001). In qualitative interviews, we found that social media is often used as an avoidance mechanism for academic stress which then destroys time management and exacerbates the original stress leading to a vicious cycle of digital fatigue. Participant 18 (Bachelor 2nd Year, High Burnout) explained this loss of control as: &gt; “I am on my phone 6 hours a day scrolling and web series… Burnout is very high. I am completely tired from this daily routine and my mental state. This unstructured digital consumption directly substitutes for study time and recuperation time. P8 (Bachelor 2nd Year, High Burnout) stated: &gt; “I spend my whole day on my phone! Scrolling Facebook and playing PUBG more than 6-7 hours a day… I get depressed quite often. No studies, no outdoor activities – all this makes me feel that there is actually no future.</w:t>
      </w:r>
    </w:p>
    <w:p>
      <w:pPr>
        <w:pStyle w:val="Heading3"/>
        <w:spacing w:after="60"/>
      </w:pPr>
      <w:r>
        <w:rPr>
          <w:color w:val="047857"/>
        </w:rPr>
        <w:t xml:space="preserve">8.6 Theme 4: Work and Sleep Deprivation (The Architecture of Fatigue)</w:t>
      </w:r>
    </w:p>
    <w:p>
      <w:pPr>
        <w:spacing w:after="0" w:line="240" w:lineRule="auto"/>
      </w:pPr>
      <w:r>
        <w:rPr>
          <w:rFonts w:ascii="Times New Roman" w:eastAsia="Times New Roman" w:hAnsi="Times New Roman" w:cs="Times New Roman"/>
          <w:sz w:val="24"/>
          <w:szCs w:val="24"/>
          <w:lang w:val="en-GB" w:eastAsia="en-GB" w:bidi="bn-BD"/>
        </w:rPr>
        <w:t xml:space="preserve">Students who were extremely burnt out often reported their circadian rhythms breaking down completely, from late-night digital use, anxiety about school, or the added stress of part-time jobs. This qualitative finding lends direct support to the SHAP values that link sleep hours and sleep quality with risk of burnout. Participant 6 (Bachelor 2nd Year, High Burnout) described the cycle of poor sleep hygiene as follows: "I stay up late watching many web series. Then I need to wake up in the morning for university so my sleep schedule is all out of whack… I don’t get enough time to sleep and when I do get into bed sleep doesn’t come easily.” Chronic physical exhaustion among working students. As participant 12 (Bachelor 2nd Year, High Burnout) commented: “I think the academic pressure is a lot. I definitely cannot balance the job along with my studies… My sleep situation is quite pathetic. I get the opportunity to sleep only for about 5-6 hours a day. I am a very light sleeper and breaks at the slightest sound.” In stark contrast, students who took good care of their sleep hygiene and were engaged in physical activity were highly resilient to burn-out even with heavy workloads. Participant 5 (Masters 1st Year, Low Burnout) has study, research and a Teaching Assistantship to manage and said: &gt; I try to sleep 7-8 hours every single day... I’m not very burnt out. I’m doing beautifully with it all. The protecting power of physical activity and sleep was also mentioned by Participant 4 (Bachelor 3rd Year, Medium Burnout): &gt; “I work out every morning… Alhamdulillah, I sleep very well. I have a deep sleep.</w:t>
      </w:r>
    </w:p>
    <w:p>
      <w:pPr>
        <w:pStyle w:val="Heading3"/>
        <w:spacing w:after="60"/>
      </w:pPr>
      <w:r>
        <w:rPr>
          <w:color w:val="047857"/>
        </w:rPr>
        <w:t xml:space="preserve">8.7 Qualitative Results Summary</w:t>
      </w:r>
    </w:p>
    <w:p>
      <w:pPr>
        <w:spacing w:after="0" w:line="240" w:lineRule="auto"/>
      </w:pPr>
      <w:r>
        <w:rPr>
          <w:rFonts w:ascii="Times New Roman" w:eastAsia="Times New Roman" w:hAnsi="Times New Roman" w:cs="Times New Roman"/>
          <w:sz w:val="24"/>
          <w:szCs w:val="24"/>
          <w:lang w:val="en-GB" w:eastAsia="en-GB" w:bidi="bn-BD"/>
        </w:rPr>
        <w:t xml:space="preserve">We humanise machine learning data via expanded thematic analysis. It reveals that for this cohort burnout is an expression of an integrated risk pathway: high academic and career anxiety is associated with psychological distress which students attempt to cope with by engaging in digital media (often 5-7 hours per day). This digital use replaces their sleep architecture and they are physically and mentally unfit to face the daily academic demands. Moreover, it points out the special circumstances of students in the National University system, who are worn out not by a heavy academic burden but by the stigma of attending a National University.</w:t>
      </w:r>
    </w:p>
    <w:p>
      <w:pPr>
        <w:pStyle w:val="Heading2"/>
        <w:spacing w:before="240" w:after="80"/>
      </w:pPr>
      <w:r>
        <w:rPr>
          <w:color w:val="1E3A8A"/>
        </w:rPr>
        <w:t xml:space="preserve">9. Mixed Methods Integration and Extended Discussion</w:t>
      </w:r>
    </w:p>
    <w:p>
      <w:pPr>
        <w:spacing w:after="0" w:line="240" w:lineRule="auto"/>
      </w:pPr>
      <w:r>
        <w:rPr>
          <w:rFonts w:ascii="Times New Roman" w:eastAsia="Times New Roman" w:hAnsi="Times New Roman" w:cs="Times New Roman"/>
          <w:sz w:val="24"/>
          <w:szCs w:val="24"/>
          <w:lang w:val="en-GB" w:eastAsia="en-GB" w:bidi="bn-BD"/>
        </w:rPr>
        <w:t xml:space="preserve">The main advantage of an explanatory sequential mixed-methods design (QUAN → QUAL) is the triangulation, or systematic combination of different data streams to develop a cohesive theoretical model [26]. For this study, the machine learning algorithms (i.e., the SHAP feature importances extracted from the Random Forest model in Section 7) were validated against the deeply contextual thematic analysis of the 20 qualitative interviews (Section 8) for their computational objectivity. The triangulation process shows significant overlap between the algorithmic results and the psychological experiences reported by students. Taken together, these findings provide important integrated insights into the functioning of academic burnout.</w:t>
      </w:r>
    </w:p>
    <w:p>
      <w:pPr>
        <w:pStyle w:val="Heading3"/>
        <w:spacing w:after="60"/>
      </w:pPr>
      <w:r>
        <w:rPr>
          <w:color w:val="047857"/>
        </w:rPr>
        <w:t xml:space="preserve">9.1 CGPA Convergence and Career Disenchantment</w:t>
      </w:r>
    </w:p>
    <w:p>
      <w:pPr>
        <w:spacing w:after="0" w:line="240" w:lineRule="auto"/>
      </w:pPr>
      <w:r>
        <w:rPr>
          <w:rFonts w:ascii="Times New Roman" w:eastAsia="Times New Roman" w:hAnsi="Times New Roman" w:cs="Times New Roman"/>
          <w:sz w:val="24"/>
          <w:szCs w:val="24"/>
          <w:lang w:val="en-GB" w:eastAsia="en-GB" w:bidi="bn-BD"/>
        </w:rPr>
        <w:t xml:space="preserve">Quantitative Signal: The SHAP analysis showed that the most powerful mathematical predictors of High Burnout were `academic_performance_index` (Mean |SHAP| = 0.0388), `cgpa_midpoint` (Mean |SHAP| = 0.0362), `screen_to_sleep_ratio` (Mean |SHAP| = 0.0298) and `burnout_vulnerability_index` (Mean |SHAP| = 0.0238). Qualitative Context: Thematic analysis sheds light on the algorithm’s strong weighting of these metrics. For students, CGPA is not simply a number, it is the ultimate proxy to their future career survival. All participants reported that maintaining a high CGPA is exhausting while not maintaining one creates crippling anxiety about unemployment after graduation. This intense, bidirectional psychometric strain was captured well by the algorithm. Moreover, the qualitative data provided a critical nuance that the algorithm could not capture: for students in the National University system, even a low-pressure academic environment leads to severe burnout due to the institutional stigma that inherently undermines their career prospects, demonstrating that “academic pressure” is inextricably linked to “future despair.”</w:t>
      </w:r>
    </w:p>
    <w:p>
      <w:pPr>
        <w:pStyle w:val="Heading3"/>
        <w:spacing w:after="60"/>
      </w:pPr>
      <w:r>
        <w:rPr>
          <w:color w:val="047857"/>
        </w:rPr>
        <w:t xml:space="preserve">9.2 Screen-to-Sleep Ratio and Digital Fatigue Meet Up</w:t>
      </w:r>
    </w:p>
    <w:p>
      <w:pPr>
        <w:spacing w:after="0" w:line="240" w:lineRule="auto"/>
      </w:pPr>
      <w:r>
        <w:rPr>
          <w:rFonts w:ascii="Times New Roman" w:eastAsia="Times New Roman" w:hAnsi="Times New Roman" w:cs="Times New Roman"/>
          <w:sz w:val="24"/>
          <w:szCs w:val="24"/>
          <w:lang w:val="en-GB" w:eastAsia="en-GB" w:bidi="bn-BD"/>
        </w:rPr>
        <w:t xml:space="preserve">Quantitative Signal: SHAP analysis identified screen_to_sleep_ratio (Mean |SHAP| = 0.0298) as the third most important burnout predictor and social media hours (Mean |SHAP| = 0.0202) as the fifth, suggesting that digital displacement of biological sleep recovery is a separate and statistically potent burnout mechanism — independent of academic performance indicators. Qualitative Context: This computational relationship is contextualised by the qualitative interviews, revealing a sequential maladaptive coping pathway. Students are not passive consumers of social media. Rather, with increasing academic stress and psychological distress, social media use (often 5-7 hours a day) is an escapist coping strategy for academic overwhelm. This digital engagement directly displaces sleep duration, compounding the original stress with chronic biological exhaustion. “I watch a lot of web series at nite so I sleep late… my sleep cycle is totally disturbed,” said Participant 6 (Bachelor 2nd Year, High Burnout). Participant 8 echoed the same compounding dynamic, “Scrolling Facebook and playing PUBG takes more than 6-7 hours a day… No studies, no outdoor activities — adding all this up makes me feel like there is actually no future. The Random Forest model captured this compounding interaction mathematically: the combination of high social media use and low sleep hours is highly correlated with the High Burnout classification. Crucially, the qualitative strand shows that this pattern is a product of psychological avoidance behaviour, not mere lifestyle preference – a mechanistic subtlety that the quantitative model picks up as a statistical signal but cannot encode as an intervention target without qualitative contextualisation.</w:t>
      </w:r>
    </w:p>
    <w:p>
      <w:pPr>
        <w:pStyle w:val="Heading3"/>
        <w:spacing w:after="60"/>
      </w:pPr>
      <w:r>
        <w:rPr>
          <w:color w:val="047857"/>
        </w:rPr>
        <w:t xml:space="preserve">9.3 Demographics Don’t Matter</w:t>
      </w:r>
    </w:p>
    <w:p>
      <w:pPr>
        <w:spacing w:after="0" w:line="240" w:lineRule="auto"/>
      </w:pPr>
      <w:r>
        <w:rPr>
          <w:rFonts w:ascii="Times New Roman" w:eastAsia="Times New Roman" w:hAnsi="Times New Roman" w:cs="Times New Roman"/>
          <w:sz w:val="24"/>
          <w:szCs w:val="24"/>
          <w:lang w:val="en-GB" w:eastAsia="en-GB" w:bidi="bn-BD"/>
        </w:rPr>
        <w:t xml:space="preserve">Quantitative Signal: Demographic variables (Gender, Age Group, Degree Level) were found at the bottom of SHAP hierarchy and had mathematically insignificant predictive power. Qualitative Context: The interviews algorithmically confirm this dismissal. Students never attributed exhaustion to age or gender when describing it. Instead, burnout was universally attributed to behavioural demands (working part-time jobs, studying long hours) and psychological states (depression over career prospects). The machine learning model was correct in learning that a 20-year-old female and a 25-year-old male have the same burnout risk if both experience sleep deprivation, high social media consumption, and severe career anxiety.</w:t>
      </w:r>
    </w:p>
    <w:p>
      <w:pPr>
        <w:pStyle w:val="Heading3"/>
        <w:spacing w:after="60"/>
      </w:pPr>
      <w:r>
        <w:rPr>
          <w:color w:val="047857"/>
        </w:rPr>
        <w:t xml:space="preserve">9.4 Toward an Integrated Theoretical Model of Student Burnout</w:t>
      </w:r>
    </w:p>
    <w:p>
      <w:pPr>
        <w:spacing w:after="0" w:line="240" w:lineRule="auto"/>
      </w:pPr>
      <w:r>
        <w:rPr>
          <w:rFonts w:ascii="Times New Roman" w:eastAsia="Times New Roman" w:hAnsi="Times New Roman" w:cs="Times New Roman"/>
          <w:sz w:val="24"/>
          <w:szCs w:val="24"/>
          <w:lang w:val="en-GB" w:eastAsia="en-GB" w:bidi="bn-BD"/>
        </w:rPr>
        <w:t xml:space="preserve">The study triangulates the SHAP values with qualitative themes and proposes a contextualised, data-driven adaptation of the Job Demands-Resources (JD-R) framework for student burnout in the South Asian higher education context. Burnout is not a static condition of mere study volume, but a dynamic, compounding crisis along the JD-R health impairment pathway: it begins with Systemic Academic/Career Anxiety (CGPA pressure or institutional stigma) which leads to primary Psychological Distress (depression and stress). Students unable to cope with adaptive strategies fall into Maladaptive Digital Escapism (high social media use of 5-7 hours daily), which then cascades into Biological Collapse (sleep deprivation to 5-6 hours ) This triangulated adaptation suggests that machine learning algorithms, suitably deconstructed through Explainable AI and contextualised through human interviews, can contribute meaningfully to our understanding of complex psychological phenomena. This proposed sequential pathway should be tested in future confirmatory studies using structural equation modelling in independent longitudinal samples.</w:t>
      </w:r>
    </w:p>
    <w:p>
      <w:pPr>
        <w:pStyle w:val="Heading3"/>
        <w:spacing w:after="60"/>
      </w:pPr>
      <w:r>
        <w:rPr>
          <w:color w:val="047857"/>
        </w:rPr>
        <w:t xml:space="preserve">9.5 Research Hypothesis &amp; Research Questions Testing</w:t>
      </w:r>
    </w:p>
    <w:p>
      <w:pPr>
        <w:spacing w:after="0" w:line="240" w:lineRule="auto"/>
      </w:pPr>
      <w:r>
        <w:rPr>
          <w:rFonts w:ascii="Times New Roman" w:eastAsia="Times New Roman" w:hAnsi="Times New Roman" w:cs="Times New Roman"/>
          <w:sz w:val="24"/>
          <w:szCs w:val="24"/>
          <w:lang w:val="en-GB" w:eastAsia="en-GB" w:bidi="bn-BD"/>
        </w:rPr>
        <w:t xml:space="preserve">We now explicitly and empirically close the conceptual and predictive framework set in Section 1 by formally testing the four research hypotheses (H1–H4) and four research questions (RQ1–RQ4). Testing Research Hypotheses: H1 (Algorithm Superiority): Not supported for named gradient boosting algorithms; partially supported for bagging ensemble. H1 predicted that gradient-boosted ensemble algorithms (XGBoost, LightGBM, CatBoost) would yield significantly higher F1-scores and ROC-AUC than single learners. The hypothesis was falsified for the specific gradient boosting algorithms mentioned. XGBoost achieved Accuracy = 62.40%, F1 = 0.5292, which is less than that of Logistic Regression (Accuracy=64.39%, F1=0.5348). LightGBM scored 63.39% accuracy, again underperforming the logistic regression baseline. CatBoost (65.06%, F1 = 0.5455) did slightly better but was not statistically significantly better than Logistic Regression (McNemar p &gt; 0.45). This outcome is methodologically informative, and is driven by two synergistic factors: (1) Sample Size and Algorithm Complexity: At N = 601, the variance reduction of randomised bagging (Random Forest, which averages over uncorrelated decorrelated trees) reliably outperforms sequential boosting, which typically requires N ≥ 2,000–5,000 instances to exploit weak-learner gradient stacking without fitting subjective self-report noise [80]; (2) Shrinkage Dynamics on Small Tabular Data: XGBoost's standard default learning rate ($\eta = 0.30$) with tree depth 6 is relatively aggressive gradient descent updates, predisposing sequential decision stumps to localised overfitting on self-report psychometric items compared to shallow regularised logistic regression. Although a fine-grained hyperparameter grid search (e.g., finer shrinkage $\eta \in [0.01, 0.05]$ with substantial $\text{L}_1/\text{L}_2$ regularisation) can reclaim marginal gains, the boosting models in the main multi-model benchmark maintained fixed default parameters consistent with the original protocol. Subsequent nested CV tuning corroborated performance stability for the champion Random Forest and Logistic Regression (Section 7.1), but a systematic assessment of deep hyperparameter grids for all gradient boosting architectures is a topic for future work. Hence, the hypothesis is only partially supported, as Random Forest (bagging ensemble, Accuracy = 65.89%) and the Soft Voting Ensemble performed significantly better than the single-learner Decision Tree in McNemar tests ($\chi^2 = 4.73, p = 0.0297$ and $\chi^2 = 4.66, p = 0.0308$ respectively). This explicit falsification of H1 for boosting models emphasises the importance of selecting algorithms that are suitable for the sample size in educational data mining. H2 (Psychological Demand Ranking): Supported. H2 predicted that psychological demand features would rank in the top five predictors. The SHAP analysis indicated that the Academic Performance Index (#1), CGPA Midpoint (#2), Screen-to-Sleep Ratio (#3), Burnout Vulnerability Index (#4), and Social Media Hours (#5) were in the top spots. H3 (Resource Depletion Pathway): Partially Supported. H3 postulated that resource-related features (sleep quality score, physical activity hours, wellbeing buffer index) would be significantly and negatively associated with burnout severity. In univariate statistical testing (Section 5), the resource indicators such as motivation score showed a non-significant trend (p = 0.084). However, in non-linear multi-variate modelling, SHAP feature dependence plots (Section 7) confirmed that biological recovery deficits (sleep hours and sleep quality) and composite well-being buffer depletion strongly accelerated burnout risk when interacting with high stress. It suggests that the issue of resource depletion is not a matter of simple bivariate main effects but rather complex non-linear feature interactions [34]. H4 (Triangulated Convergent Validity): Supported. Qualitative themes would corroborate the quantitative feature hierarchy. Triangulation analysis (Sections 9.1-9.4) validated strong qualitative alignment. Qualitative narratives of CGPA dread, digital bingeing, and sleep loss directly reflected top SHAP mathematical attributions. Answering the research questions RQ1 (Best Predictive ML Model): This question is answered in Section 6. Random Forest got maximum Cross-Validated Accuracy (65.89%) and maximum ROC-AUC (0.7126), Soft Voting Ensemble got same Accuracy (65.89%), ROC-AUC (0.7069) and maximum F1-score (0.5514) and LightGBM got maximum Recall (0.5059) over 10-Fold Stratified Cross-Validation on N = 601. RQ2 (Most Influential Predictors &amp; XAI Convergence) Section 7. Most important global factors were Academic Performance Index (Mean |SHAP| = 0.0388) and CGPA midpoint (0.0362) followed by Screen-to-Sleep Ratio (0.0298) and Burnout Vulnerability Index (0.0238) while demographic variables contributed negligibly (&lt; 0.007). RQ3 (Qualitative Experiential Themes): Section 8 presents four major themes that emerged: (1) Academic dread and career despair, (2) Institutional identity and “low-pressure” burnout, (3) Digital fatigue as maladaptive coping, and (4) Circadian collapse and sleep deprivation. RQ4 (Triangulated Meta-Inferences &amp; Policy Implications): Discussed in Sections 9 &amp; 10. Triangulation produced a unified 4-stage compounding burnout model (Anxiety -&gt; Distress -&gt; Digital Escapism -&gt; Biological Collapse) to inform algorithm-guided institutional interventions.</w:t>
      </w:r>
    </w:p>
    <w:p>
      <w:pPr>
        <w:pStyle w:val="Heading3"/>
        <w:spacing w:after="60"/>
      </w:pPr>
      <w:r>
        <w:rPr>
          <w:color w:val="047857"/>
        </w:rPr>
        <w:t xml:space="preserve">9.6 Theoretical and Clinical Significance</w:t>
      </w:r>
    </w:p>
    <w:p>
      <w:pPr>
        <w:spacing w:after="0" w:line="240" w:lineRule="auto"/>
      </w:pPr>
      <w:r>
        <w:rPr>
          <w:rFonts w:ascii="Times New Roman" w:eastAsia="Times New Roman" w:hAnsi="Times New Roman" w:cs="Times New Roman"/>
          <w:sz w:val="24"/>
          <w:szCs w:val="24"/>
          <w:lang w:val="en-GB" w:eastAsia="en-GB" w:bidi="bn-BD"/>
        </w:rPr>
        <w:t xml:space="preserve">The main purpose of this research was to develop an interpretable exploratory predictive model of university student burnout by integrating supervised machine learning and reflexive qualitative analysis. This research goes beyond traditional isolated statistical approaches and employed Explainable AI (SHAP) to unpack the algorithmic logic and triangulated these mathematical findings with human lived experiences. The findings offer useful insights into the patterns of academic exhaustion, particularly in the high-stakes educational context of Bangladesh.</w:t>
      </w:r>
    </w:p>
    <w:p>
      <w:pPr>
        <w:pStyle w:val="Heading3"/>
        <w:spacing w:after="60"/>
      </w:pPr>
      <w:r>
        <w:rPr>
          <w:color w:val="047857"/>
        </w:rPr>
        <w:t xml:space="preserve">9.7 Predictive Modelling &amp; Algorithm Selection</w:t>
      </w:r>
    </w:p>
    <w:p>
      <w:pPr>
        <w:spacing w:after="0" w:line="240" w:lineRule="auto"/>
      </w:pPr>
      <w:r>
        <w:rPr>
          <w:rFonts w:ascii="Times New Roman" w:eastAsia="Times New Roman" w:hAnsi="Times New Roman" w:cs="Times New Roman"/>
          <w:sz w:val="24"/>
          <w:szCs w:val="24"/>
          <w:lang w:val="en-GB" w:eastAsia="en-GB" w:bidi="bn-BD"/>
        </w:rPr>
        <w:t xml:space="preserve">The machine learning pipeline showed that burnout is a predictable psychometric outcome based on behavioural and psychological survey features. The best overall accuracy was achieved by the Random Forest classifier (65.89%, ROC-AUC = 0.7126). The Soft Voting Ensemble provided the best predictive performance (65.89% Accuracy, ROC-AUC = 0.7069, F1 = 0.5514) at the same level. For high-risk burnout detection, LightGBM achieved the highest recall (0.5059) considering single classifiers with default thresholding. These measures are relevant for educational psychology survey prediction. Primary self-reported psychometric data is characterised by inherent subjective human variability and behaviour noise, unlike clinical or laboratory settings with rigid biomedical sensors [90]. A 10-fold cross-validated accuracy of 65.89% with a ROC-AUC of 0.7126 thus marks a modest, leak-free real-world exploratory screening baseline (~8.3 percentage points above the 57.57% majority baseline). The ROC-AUC value of 0.71 represents an acceptable and statistically significant predictive signal, supporting the existence of non-linear identifiable patterns between academic burnout and the behavioural feature space. Model Parsimony, Occam's Razor and Baseline Equivalence: Pairwise McNemar hypothesis testing (Table 3, Section 6) showed that the difference in performance between Random Forest (Accuracy = 65.89%, F1 = 0.5199) and standard Logistic Regression (Accuracy = 64.39%, F1 = 0.5348) was not statistically significant ($\chi^2 = 0.51, p = 0.4743$). Complex gradient-boosted models (CatBoost 65.06%, $p = 0.6350$) also did not significantly outperform Logistic Regression. This finding reflects two important practical considerations when evaluated against the principle of parsimony (Occam's razor): 1. Pragmatic Deployment Baseline: Regularised Logistic Regression is a very efficient, statistically comparable baseline algorithm, for resource-constrained university registrar systems, or mobile wellness applications, that require real-time scoring without non-linear ensemble dependencies. 2. Why Non-Linear Ensembles &amp; SHAP. Even when globally equally accurate, tree-based ensembles (Random Forest) are still needed for two key analytical capabilities: (a) capturing non-monotonic interaction split-points (e.g. non-linear risk escalation above certain screen-to-sleep ratios) without requiring manual polynomial specification in a linear model, and (b) enabling scale-invariant non-parametric SHAP feature attributions that are mathematically robust under correlated composite features (Section 5.4). Benchmarking several classifiers provides an empirical validation step showing non-linear models can generalise competitively without overfitting on noisy self-report data.</w:t>
      </w:r>
    </w:p>
    <w:p>
      <w:pPr>
        <w:pStyle w:val="Heading3"/>
        <w:spacing w:after="60"/>
      </w:pPr>
      <w:r>
        <w:rPr>
          <w:color w:val="047857"/>
        </w:rPr>
        <w:t xml:space="preserve">9.8 Deconstructing Burnout in the JD-R Model</w:t>
      </w:r>
    </w:p>
    <w:p>
      <w:pPr>
        <w:spacing w:after="0" w:line="240" w:lineRule="auto"/>
      </w:pPr>
      <w:r>
        <w:rPr>
          <w:rFonts w:ascii="Times New Roman" w:eastAsia="Times New Roman" w:hAnsi="Times New Roman" w:cs="Times New Roman"/>
          <w:sz w:val="24"/>
          <w:szCs w:val="24"/>
          <w:lang w:val="en-GB" w:eastAsia="en-GB" w:bidi="bn-BD"/>
        </w:rPr>
        <w:t xml:space="preserve">The findings offer a basic confirmation and extension of the Job Demands-Resources (JD-R) model [34] to the academic context. The JD-R model posits that exhaustion is the result of structural “demands” outstripping available “resources”. Our SHAP analysis and qualitative interviews revealed three demand vectors associated with burnout: 1. Academic Performance (CGPA) as the Most Important Factor: Unlike previous studies in the Western context, where part-time work or social isolation were found to be the most important factors in burnout [14], our XAI model indicated that the Academic Performance Index (Mean |SHAP| = 0.0388) and CGPA Midpoint (Mean |SHAP| = 0.0362) were the most dominant factors in burnout. This was explained by the qualitative data: in developing economies like Bangladesh, academic performance is intrinsically linked to future economic survival. The huge psychological demand is to achieve a high CGPA, or the despair of having a low CGPA (especially for National University students who are stigmatised by the institution). 2. The Digital Fatigue Paradox The ability of leisure activities to relieve stress is not new. However, the current findings suggest that unstructured social media use may be a “demand” rather than a resource. Qualitative interviews indicated students use social media as an escapist coping mechanism for academic stress (frequently over 5 hours daily), which was the third most important predictor as per SHAP. Instead of recovery, it displaces sleep duration and study time, ultimately aggravating the initial stress and co-occurring with burnout. 3. Biological Collapse (Sleep Deprivation): Sleep hours and sleep quality were very significant predictors. The triangulation pipeline discovered a seemingly behavioural pattern: academic anxiety led to digital escapism which severely restricted sleep duration (often to 5–6 hours). This constant biological deficit of resources leaves the student in a cycle of burnout which is self-perpetuating as the student is unable to meet the demands of academics the next day.</w:t>
      </w:r>
    </w:p>
    <w:p>
      <w:pPr>
        <w:pStyle w:val="Heading3"/>
        <w:spacing w:after="60"/>
      </w:pPr>
      <w:r>
        <w:rPr>
          <w:color w:val="047857"/>
        </w:rPr>
        <w:t xml:space="preserve">9.9 Contributions of Methodology</w:t>
      </w:r>
    </w:p>
    <w:p>
      <w:pPr>
        <w:spacing w:after="0" w:line="240" w:lineRule="auto"/>
      </w:pPr>
      <w:r>
        <w:rPr>
          <w:rFonts w:ascii="Times New Roman" w:eastAsia="Times New Roman" w:hAnsi="Times New Roman" w:cs="Times New Roman"/>
          <w:sz w:val="24"/>
          <w:szCs w:val="24"/>
          <w:lang w:val="en-GB" w:eastAsia="en-GB" w:bidi="bn-BD"/>
        </w:rPr>
        <w:t xml:space="preserve">This research makes an important methodological contribution, because educational psychology has always used either quantitative linear statistics that do not take into account complex interactions between variables or qualitative interviews that are not scalable for prediction. This study presents a promising analytical approach in an explanatory sequential mixed-method design (QUAN → QUAL) combining Machine Learning, Explainable AI (SHAP), and Thematic Analysis. Results demonstrate that algorithms can detect meaningful predictive signals about psychological states, XAI is able to extract the theoretical hierarchy supporting those predictions, and qualitative research can provide the essential human context to explain why such hierarchy exists. The triangulated framework enables the interpretation of algorithmic outputs, making advanced computational frameworks actionable and interpretable for mental health professionals and university administrators.</w:t>
      </w:r>
    </w:p>
    <w:p>
      <w:pPr>
        <w:pStyle w:val="Heading3"/>
        <w:spacing w:after="60"/>
      </w:pPr>
      <w:r>
        <w:rPr>
          <w:color w:val="047857"/>
        </w:rPr>
        <w:t xml:space="preserve">9.10 Limitations and Future Research Directions</w:t>
      </w:r>
    </w:p>
    <w:p>
      <w:pPr>
        <w:pStyle w:val="Heading4"/>
        <w:spacing w:before="160" w:after="40"/>
      </w:pPr>
      <w:r>
        <w:t xml:space="preserve">9.10.1 Limitations of the Method</w:t>
      </w:r>
    </w:p>
    <w:p>
      <w:pPr>
        <w:spacing w:after="0" w:line="240" w:lineRule="auto"/>
      </w:pPr>
      <w:r>
        <w:rPr>
          <w:rFonts w:ascii="Times New Roman" w:eastAsia="Times New Roman" w:hAnsi="Times New Roman" w:cs="Times New Roman"/>
          <w:sz w:val="24"/>
          <w:szCs w:val="24"/>
          <w:lang w:val="en-GB" w:eastAsia="en-GB" w:bidi="bn-BD"/>
        </w:rPr>
        <w:t xml:space="preserve">1. Cross-Sectional Design The quantitative data (N = 601) were collected in a cross-sectional design. Although the machine learning algorithms found strong predictive patterns and qualitative interviews provided evidence of causal pathways (e.g., social media disrupts sleep), a cross-sectional design is limited in its ability to determine causality. For example, it is still possible in theory that severe burnout leads to more social media use rather than vice versa. 2. Self-Report Bias: The quantitative survey and qualitative interviews were entirely based on self-reported metrics. Variables such as `study_hours_numeric` and `sleep_hours_numeric` . Recall bias is an example . 3. Unmeasured Macro-Environmental Factors The machine learning algorithms were trained on specific academic and behavioural metrics. However, these naturally leave out the broader socio-economic and environmental realities specific to Bangladesh. The survey did not capture factors such as extreme traffic congestion (which can drain energy from daily life), sudden political instability, university closures, natural disasters, and recent economic inflation [91, 106]. Such external “natural” stressors probably play a massive, hidden role in the high burnout rates, especially in Dhaka, which the current algorithm cannot account for. 4. Modest statistical predictive signal and threshold trade-offs: The best random forest achieved an accuracy of 65.89% (~8.3 percentage points above the 57.57% majority baseline) and ROC-AUC of 0.7126 with a default threshold recall of 43.53%. While statistically significant, these results indicate that cross-sectional self-report survey data offer a modest exploratory screening signal rather than a diagnostic decision boundary. With higher sensitivity ($th=0.38$, Recall = 71.76%), more cases are identified, but the specificity is lower (56.07%). This emphasises that algorithmic risk stratification should serve solely as a non-binding decision support indicator, augmented by human clinical judgement. 5. Engineered composite features: Construct Redundancy and Self-Report Overlap `academic_performance_index` r = -0.246, `cgpa_midpoint` r = -0.264, `screen_to_sleep_ratio` r = 0.219, `burnout_vulnerability_index` r = 0.183, `motivation_deficit_score` r = 0.151, `wellbeing_buffer` r = -0.076 Aggregate correlated self-report survey items These moderate-to-moderate correlations are consistent with theoretical construct overlap in the JD-R and COR frameworks and not direct target proxy leakage or circularity. Future studies should include objective physiological indicators (wearable heart rate variability, actigraphy sleep metrics) along with self-report instruments. 6. Authors’ Reflexivity and Dual-Role Limitation The first author was responsible for survey collection, ML pipeline development, and qualitative coding. We used temporal separation (open qualitative coding prior to SHAP execution) and a 25% independent inter-rater check (Cohen’s = 0.82), however it is hard to completely eliminate researcher reflexivity in single-primary-investigator mixed-methods designs. 7. Sample Size and Need for External Multi-Center Validation The sample size (N = 601) is modest for training complex ML architectures. Nonetheless, 10-fold stratified cross-validation provided robust out-of-fold generalisation estimates and cross-subgroup pseudo-external validation supported stability across academic degree levels (Section 6.5, Bachelor’s vs. Master’s/PhD/Diploma cohorts). However, true geographically-independent external validation on multi-center cohorts remains essential. Future multi-institutional studies should evaluate external generalisability across independent geographical cohorts in South Asia and beyond, consistent with TRIPOD guidelines [30, 114]. Moreover, the cohort was restricted to Bangladeshi universities, and thus the specific institutional dynamics – including the stigma of the National University system – may not directly translate to Western higher education contexts.</w:t>
      </w:r>
    </w:p>
    <w:p>
      <w:pPr>
        <w:pStyle w:val="Heading4"/>
        <w:spacing w:before="160" w:after="40"/>
      </w:pPr>
      <w:r>
        <w:t xml:space="preserve">9.10.2 Some ideas for further research</w:t>
      </w:r>
    </w:p>
    <w:p>
      <w:pPr>
        <w:spacing w:after="0" w:line="240" w:lineRule="auto"/>
      </w:pPr>
      <w:r>
        <w:rPr>
          <w:rFonts w:ascii="Times New Roman" w:eastAsia="Times New Roman" w:hAnsi="Times New Roman" w:cs="Times New Roman"/>
          <w:sz w:val="24"/>
          <w:szCs w:val="24"/>
          <w:lang w:val="en-GB" w:eastAsia="en-GB" w:bidi="bn-BD"/>
        </w:rPr>
        <w:t xml:space="preserve">1. Longitudinal and sensor-based data: Moving from cross-sectional survey to longitudinal monitoring should be a focus for future research. Wearable fitness trackers to capture objective sleep architecture and screen-time monitoring applications to capture precise digital consumption would eliminate self-report bias and provide higher-fidelity inputs for deep learning models. 2. Multi-Center External Validation and Cross-Cultural Portability: The stability of the model across academic degree tiers was validated using 10-fold cross-validation and cross-subgroup pseudo-external validation (Section 6.5). However, the cross-cultural portability of the engineered feature indices needs to be validated across independent multi-center university cohorts in South Asia and globally in future studies. 3. Intervention Studies: Educational data mining is primarily aimed at informing interventions. Future work should build on the identified SHAP hierarchy (targeting CGPA anxiety and sleep hygiene) to inform specific, algorithm-guided psychotherapeutic interventions at university counselling centers and to evaluate the efficacy of these interventions in reducing systemic burnout through randomised control trials.</w:t>
      </w:r>
    </w:p>
    <w:p w:rsidR="00A43BB6" w:rsidRDefault="0044650C">
      <w:pPr>
        <w:pStyle w:val="Heading2"/>
        <w:spacing w:before="240" w:after="80"/>
      </w:pPr>
      <w:r>
        <w:rPr>
          <w:color w:val="1E3A8A"/>
        </w:rPr>
        <w:lastRenderedPageBreak/>
        <w:t>10. Conclusion and Policy Recommendations</w:t>
      </w:r>
    </w:p>
    <w:p w:rsidR="00D57DA3" w:rsidRPr="00D57DA3" w:rsidRDefault="00D57DA3" w:rsidP="00D57DA3">
      <w:pPr>
        <w:spacing w:after="0" w:line="240" w:lineRule="auto"/>
        <w:rPr>
          <w:rFonts w:ascii="Times New Roman" w:eastAsia="Times New Roman" w:hAnsi="Times New Roman" w:cs="Times New Roman"/>
          <w:sz w:val="24"/>
          <w:szCs w:val="24"/>
          <w:lang w:val="en-GB" w:eastAsia="en-GB" w:bidi="bn-BD"/>
        </w:rPr>
      </w:pPr>
      <w:r w:rsidRPr="00D57DA3">
        <w:rPr>
          <w:rFonts w:ascii="Times New Roman" w:eastAsia="Times New Roman" w:hAnsi="Times New Roman" w:cs="Times New Roman"/>
          <w:sz w:val="24"/>
          <w:szCs w:val="24"/>
          <w:lang w:val="en-GB" w:eastAsia="en-GB" w:bidi="bn-BD"/>
        </w:rPr>
        <w:t xml:space="preserve">Academic burnout among university students is rapidly becoming a systemic public health crisis, but conventional diagnostic frameworks are still limited by linear statistics and isolated methodological silos. This study aimed to overcome these limitations by using an explanatory sequential mixed-methods design (QUAN → QUAL) that combined quantitative ML-based prediction with systematic qualitative inquiry. </w:t>
      </w:r>
      <w:r w:rsidRPr="00D57DA3">
        <w:rPr>
          <w:rFonts w:ascii="Times New Roman" w:eastAsia="Times New Roman" w:hAnsi="Times New Roman" w:cs="Times New Roman"/>
          <w:sz w:val="24"/>
          <w:szCs w:val="24"/>
          <w:lang w:val="en-GB" w:eastAsia="en-GB" w:bidi="bn-BD"/>
        </w:rPr>
        <w:br/>
        <w:t xml:space="preserve">This research trained ten distinct supervised machine learning algorithms on raw psychometric survey data ($N=601$) and found a small, but statistically significant, predictive signal for student burnout. The Random Forest and Soft Voting ensembles showed limited predictive power on complex non-linear psychological data, achieving a cross-validated accuracy of 65.89% (ROC-AUC = 0.7126) and 65.89% (ROC-AUC = 0.7069) respectively on inherently noisy self-report data. </w:t>
      </w:r>
      <w:r w:rsidRPr="00D57DA3">
        <w:rPr>
          <w:rFonts w:ascii="Times New Roman" w:eastAsia="Times New Roman" w:hAnsi="Times New Roman" w:cs="Times New Roman"/>
          <w:sz w:val="24"/>
          <w:szCs w:val="24"/>
          <w:lang w:val="en-GB" w:eastAsia="en-GB" w:bidi="bn-BD"/>
        </w:rPr>
        <w:br/>
        <w:t xml:space="preserve">But prediction does not suffice for intervention. Explainable AI (SHAP) was used to interpret algorithmic outputs, resulting in a feature importance hierarchy of burnout-related variables. SHAP analysis showed demographic characteristics (age or gender) played a minor role in prediction. Instead, the analysis found the mathematical epicentre of academic exhaustion was CGPA pressure, depression, unstructured social media use, and sleep deprivation. </w:t>
      </w:r>
      <w:r w:rsidRPr="00D57DA3">
        <w:rPr>
          <w:rFonts w:ascii="Times New Roman" w:eastAsia="Times New Roman" w:hAnsi="Times New Roman" w:cs="Times New Roman"/>
          <w:sz w:val="24"/>
          <w:szCs w:val="24"/>
          <w:lang w:val="en-GB" w:eastAsia="en-GB" w:bidi="bn-BD"/>
        </w:rPr>
        <w:br/>
        <w:t xml:space="preserve">Subsequent thematic analysis of 20 in-depth qualitative interviews successfully humanised this computational hierarchy. The qualitative stream showed strong convergence with the SHAP values and identified a clear behavioural pattern: students suffering from extreme career anxiety (CGPA/institutional stigma) indulge in excessive social media use (often &gt;5 hours/day) as a maladaptive escape mechanism, which in turn demolishes their sleep architecture and guarantees severe, chronic burnout. Crucially, the qualitative analysis also identified a new phenomenon of “low-pressure burnout” among students at the National University, in which exhaustion is caused solely by institutional marginalisation and future hopelessness, and not by a heavy workload. </w:t>
      </w:r>
      <w:r w:rsidRPr="00D57DA3">
        <w:rPr>
          <w:rFonts w:ascii="Times New Roman" w:eastAsia="Times New Roman" w:hAnsi="Times New Roman" w:cs="Times New Roman"/>
          <w:sz w:val="24"/>
          <w:szCs w:val="24"/>
          <w:lang w:val="en-GB" w:eastAsia="en-GB" w:bidi="bn-BD"/>
        </w:rPr>
        <w:br/>
        <w:t>In sum, the present study offers a contextualised and data-driven adaptation of the JD-R model to the extant burnout literature. This suggests algorithms can discover significant predictive patterns, but human context is important for intervention design. Given the growing severity of mental health crises on campuses, we suggest the following evidence-based policy recommendations.</w:t>
      </w:r>
    </w:p>
    <w:p w:rsidR="00A43BB6" w:rsidRDefault="0044650C">
      <w:pPr>
        <w:pStyle w:val="Heading3"/>
        <w:spacing w:after="60"/>
      </w:pPr>
      <w:bookmarkStart w:id="0" w:name="_GoBack"/>
      <w:bookmarkEnd w:id="0"/>
      <w:r>
        <w:rPr>
          <w:color w:val="047857"/>
        </w:rPr>
        <w:t>10.1 Policy Recommendations</w:t>
      </w:r>
    </w:p>
    <w:p w:rsidR="00A43BB6" w:rsidRDefault="0044650C">
      <w:pPr>
        <w:spacing w:after="80"/>
      </w:pPr>
      <w:r>
        <w:t>Based on the integrated quantitative-qualitative findings, the following specific, actionable policy recommendations are offered for Bangladeshi higher education institutions:</w:t>
      </w:r>
    </w:p>
    <w:p w:rsidR="00A43BB6" w:rsidRDefault="0044650C">
      <w:pPr>
        <w:spacing w:after="80"/>
      </w:pPr>
      <w:r>
        <w:t xml:space="preserve">1. </w:t>
      </w:r>
      <w:r>
        <w:rPr>
          <w:b/>
        </w:rPr>
        <w:t>Implement Sleep Hygiene and Digital Wellness Programs.</w:t>
      </w:r>
      <w:r>
        <w:t xml:space="preserve"> SHAP analysis identified screen-to-sleep ratio (Mean |SHAP| = 0.0298) and social media hours (|SHAP| = 0.0202) among the top 5 burnout predictors. Universities should integrate structured digital wellness workshops — covering sleep hygiene protocols, device-use curfews (no screens after 10 PM), and screen-time monitoring applications — into first-year orientation programs and repeat them at each academic year transition.</w:t>
      </w:r>
    </w:p>
    <w:p w:rsidR="00A43BB6" w:rsidRDefault="0044650C">
      <w:pPr>
        <w:spacing w:after="80"/>
      </w:pPr>
      <w:r>
        <w:t xml:space="preserve">2. </w:t>
      </w:r>
      <w:r>
        <w:rPr>
          <w:b/>
        </w:rPr>
        <w:t>Deploy CGPA-Triggered Voluntary Counseling &amp; Mentoring Protocols.</w:t>
      </w:r>
      <w:r>
        <w:t xml:space="preserve"> The academic performance index (|SHAP| = 0.0388) and CGPA midpoint (|SHAP| = 0.0362) are the strongest quantitative burnout indicators. University registrar systems should automatically flag students whose semester GPA falls below 2.5 for a voluntary initial counseling or academic mentoring </w:t>
      </w:r>
      <w:r>
        <w:lastRenderedPageBreak/>
        <w:t>consultation — strictly framed as supportive academic guidance rather than mandatory mental health referral, thereby avoiding stigma-driven avoidance while respecting model false-positive bounds (~45% false positive rate at high sensitivity thresholds).</w:t>
      </w:r>
    </w:p>
    <w:p w:rsidR="00A43BB6" w:rsidRDefault="0044650C">
      <w:pPr>
        <w:spacing w:after="80"/>
      </w:pPr>
      <w:r>
        <w:t xml:space="preserve">3. </w:t>
      </w:r>
      <w:r>
        <w:rPr>
          <w:b/>
        </w:rPr>
        <w:t>Develop Dedicated Support Programs for National University Students.</w:t>
      </w:r>
      <w:r>
        <w:t xml:space="preserve"> The qualitative analysis revealed a distinct institutional identity burnout pathway among National University students driven by institutional stigma and career hopelessness rather than study overload. Dedicated peer-support networks, career orientation workshops, and alumni mentoring programs specifically designed for this population represent a high-priority institutional gap requiring targeted investment.</w:t>
      </w:r>
    </w:p>
    <w:p w:rsidR="00A43BB6" w:rsidRDefault="0044650C">
      <w:pPr>
        <w:spacing w:after="80"/>
      </w:pPr>
      <w:r>
        <w:t xml:space="preserve">4. </w:t>
      </w:r>
      <w:r>
        <w:rPr>
          <w:b/>
        </w:rPr>
        <w:t>Calibrate Algorithmic Early-Warning Thresholds for Voluntary Triage.</w:t>
      </w:r>
      <w:r>
        <w:t xml:space="preserve"> The threshold-tuning analysis demonstrates that at th = 0.38 (Sensitivity = 71.76%), 183 of 255 high-risk students are identified at the cost of elevated false-positive referrals. Universities with sufficient counseling staff should deploy the high-recall threshold, while resource-constrained institutions may prefer the default threshold (th = 0.50, Specificity = 82.37%). Any algorithmic deployment must explicitly communicate to counselors and students that algorithmic flags constitute a </w:t>
      </w:r>
      <w:r>
        <w:rPr>
          <w:i/>
        </w:rPr>
        <w:t>preliminary, non-binding decision-support indicator</w:t>
      </w:r>
      <w:r>
        <w:t>, not a clinical diagnosis or automated mandatory action trigger.</w:t>
      </w:r>
    </w:p>
    <w:p w:rsidR="00A43BB6" w:rsidRDefault="0044650C">
      <w:pPr>
        <w:spacing w:after="80"/>
      </w:pPr>
      <w:r>
        <w:t xml:space="preserve">5. </w:t>
      </w:r>
      <w:r>
        <w:rPr>
          <w:b/>
        </w:rPr>
        <w:t>Pilot an Ethics-Compliant Algorithmic Early-Warning Dashboard.</w:t>
      </w:r>
      <w:r>
        <w:t xml:space="preserve"> Future collaboration between university IT departments and student mental health services should pilot an anonymized burnout risk dashboard — populated quarterly from academic records (CGPA, attendance), library utilization data, and opt-in wellness surveys — at 2–3 Bangladeshi institutions. Pilot evaluation should assess both predictive accuracy under real-world conditions and student and counselor acceptance of algorithmic triage, with results informing national higher education mental health policy.</w:t>
      </w:r>
    </w:p>
    <w:p w:rsidR="00A43BB6" w:rsidRDefault="0044650C">
      <w:pPr>
        <w:spacing w:after="80"/>
      </w:pPr>
      <w:r>
        <w:t>Declarations &amp; Statements</w:t>
      </w:r>
    </w:p>
    <w:p w:rsidR="00A43BB6" w:rsidRDefault="0044650C">
      <w:pPr>
        <w:spacing w:after="80"/>
      </w:pPr>
      <w:r>
        <w:t>Ethics Approval and Consent to Participate</w:t>
      </w:r>
    </w:p>
    <w:p w:rsidR="00A43BB6" w:rsidRDefault="0044650C">
      <w:pPr>
        <w:spacing w:after="80"/>
      </w:pPr>
      <w:r>
        <w:t>This study was conducted in accordance with the ethical principles outlined in the Declaration of Helsinki for research involving human subjects. Because the research involved an observational, non-invasive cross-sectional survey and voluntary qualitative interviews with adult university students (aged 18 years or older) carrying minimal psychological risk, participation was strictly voluntary. Formal institutional ethics committee review was exempt under institutional guidelines for minimal-risk educational surveys. Informed electronic consent was explicitly obtained from all respondents prior to survey participation and qualitative interviewing. Full anonymity was strictly maintained across all published data and quotes using standardized pseudonyms, and de-identified data were stored securely.</w:t>
      </w:r>
    </w:p>
    <w:p w:rsidR="00A43BB6" w:rsidRDefault="0044650C">
      <w:pPr>
        <w:spacing w:after="80"/>
      </w:pPr>
      <w:r>
        <w:t>Consent for Publication</w:t>
      </w:r>
    </w:p>
    <w:p w:rsidR="00A43BB6" w:rsidRDefault="0044650C">
      <w:pPr>
        <w:spacing w:after="80"/>
      </w:pPr>
      <w:r>
        <w:t>All participants granted explicit consent for anonymized statistical data and verbatim qualitative quotes to be published in peer-reviewed scientific journals.</w:t>
      </w:r>
    </w:p>
    <w:p w:rsidR="00A43BB6" w:rsidRDefault="0044650C">
      <w:pPr>
        <w:spacing w:after="80"/>
      </w:pPr>
      <w:r>
        <w:t>Availability of Data and Materials</w:t>
      </w:r>
    </w:p>
    <w:p w:rsidR="00A43BB6" w:rsidRDefault="0044650C">
      <w:pPr>
        <w:spacing w:after="80"/>
      </w:pPr>
      <w:r>
        <w:t xml:space="preserve">The complete de-identified quantitative survey dataset (`Quantitative_Survey_Data.xlsx`), anonymized qualitative interview codebook and transcript excerpt table (`Qualitative_Interview_Transcripts_Anonymized.pdf`), modular feature engineering script </w:t>
      </w:r>
      <w:r>
        <w:lastRenderedPageBreak/>
        <w:t>(`feature_engineering.py`), machine learning training script (`train_ml.py`), SHAP evaluation pipeline (`run_shap.py`), exact runtime dependency manifest (`requirements.txt`), and manuscript source (`Manuscript_Student_Burnout.md`) used in this study are publicly deposited and freely available in an open-access GitHub repository at: `https://github.com/rifatmiah92/student-burnout-ml-mixed-methods`.</w:t>
      </w:r>
    </w:p>
    <w:p w:rsidR="00A43BB6" w:rsidRDefault="0044650C">
      <w:pPr>
        <w:spacing w:after="80"/>
      </w:pPr>
      <w:r>
        <w:t>Competing Interests / Conflict of Interest Statement</w:t>
      </w:r>
    </w:p>
    <w:p w:rsidR="00A43BB6" w:rsidRDefault="0044650C">
      <w:pPr>
        <w:spacing w:after="80"/>
      </w:pPr>
      <w:r>
        <w:t>The authors declare that they have no competing financial interests or personal relationships that could have appeared to influence the work reported in this paper.</w:t>
      </w:r>
    </w:p>
    <w:p w:rsidR="00A43BB6" w:rsidRDefault="0044650C">
      <w:pPr>
        <w:spacing w:after="80"/>
      </w:pPr>
      <w:r>
        <w:t>Funding Statement</w:t>
      </w:r>
    </w:p>
    <w:p w:rsidR="00A43BB6" w:rsidRDefault="0044650C">
      <w:pPr>
        <w:spacing w:after="80"/>
      </w:pPr>
      <w:r>
        <w:t>This research received no specific grant or financial support from any funding agency in the public, commercial, or not-for-profit sectors.</w:t>
      </w:r>
    </w:p>
    <w:p w:rsidR="00A43BB6" w:rsidRDefault="0044650C">
      <w:pPr>
        <w:spacing w:after="80"/>
      </w:pPr>
      <w:r>
        <w:t>Authors' Contributions</w:t>
      </w:r>
    </w:p>
    <w:p w:rsidR="00A43BB6" w:rsidRDefault="0044650C">
      <w:pPr>
        <w:spacing w:after="80"/>
      </w:pPr>
      <w:r>
        <w:t>Rifat Miah conceptualized the study, performed primary survey data collection and qualitative interviews, engineered features, implemented the machine learning models and SHAP evaluation pipelines, conducted statistical analyses, and drafted the manuscript. Dr. A.S.M. Shihavuddin supervised the research, refined the analytical methodology, provided technical and theoretical oversight in machine learning and computer vision/data science applications, critically reviewed and edited the manuscript, and approved the final submission. Both authors read and approved the final manuscript.</w:t>
      </w:r>
    </w:p>
    <w:p w:rsidR="00A43BB6" w:rsidRDefault="0044650C">
      <w:pPr>
        <w:pStyle w:val="Heading2"/>
        <w:spacing w:before="240" w:after="80"/>
      </w:pPr>
      <w:r>
        <w:rPr>
          <w:color w:val="1E3A8A"/>
        </w:rPr>
        <w:t>References</w:t>
      </w:r>
    </w:p>
    <w:p w:rsidR="00A43BB6" w:rsidRDefault="0044650C">
      <w:pPr>
        <w:spacing w:after="80"/>
      </w:pPr>
      <w:r>
        <w:t>[1] Madigan, D. J., &amp; Curran, T. (2021). Does burnout affect academic achievement? A meta-analysis of over 100,000 students. Educational Psychology Review, 33(2), 387-405.</w:t>
      </w:r>
    </w:p>
    <w:p w:rsidR="00A43BB6" w:rsidRDefault="0044650C">
      <w:pPr>
        <w:spacing w:after="80"/>
      </w:pPr>
      <w:r>
        <w:t>[2] Maslach, C., &amp; Leiter, M. P. (2016). Understanding the burnout experience: Recent research and its implications for psychiatry. World Psychiatry, 15(2), 103-111. https://doi.org/10.1002/wps.20311</w:t>
      </w:r>
    </w:p>
    <w:p w:rsidR="00A43BB6" w:rsidRDefault="0044650C">
      <w:pPr>
        <w:spacing w:after="80"/>
      </w:pPr>
      <w:r>
        <w:t>[3] Salmela-Aro, K., &amp; Read, S. (2017). Study engagement and burnout profiles among Finnish higher education students. Burnout Research, 7, 21-28.</w:t>
      </w:r>
    </w:p>
    <w:p w:rsidR="00A43BB6" w:rsidRDefault="0044650C">
      <w:pPr>
        <w:spacing w:after="80"/>
      </w:pPr>
      <w:r>
        <w:t>[4] Vizoso, C., Arias-Gundin, O., &amp; Midgley, C. (2019). Coping, academic engagement and performance in university students. Higher Education Research &amp; Development, 38(7), 1515-1529.</w:t>
      </w:r>
    </w:p>
    <w:p w:rsidR="00A43BB6" w:rsidRDefault="0044650C">
      <w:pPr>
        <w:spacing w:after="80"/>
      </w:pPr>
      <w:r>
        <w:t>[5] Maslach, C., Schaufeli, W. B., &amp; Leiter, M. P. (2001). Job burnout. Annual Review of Psychology, 52(1), 397-422. https://doi.org/10.1146/annurev.psych.52.1.397</w:t>
      </w:r>
    </w:p>
    <w:p w:rsidR="00A43BB6" w:rsidRDefault="0044650C">
      <w:pPr>
        <w:spacing w:after="80"/>
      </w:pPr>
      <w:r>
        <w:t>[6] Schaufeli, W. B., Martinez, I. M., Pinto, A. M., Salanova, M., &amp; Bakker, A. B. (2002). Burnout and engagement in university students: A cross-national study. Journal of Cross-Cultural Psychology, 33(5), 464-481. https://doi.org/10.1177/0022022102033005003</w:t>
      </w:r>
    </w:p>
    <w:p w:rsidR="00A43BB6" w:rsidRDefault="0044650C">
      <w:pPr>
        <w:spacing w:after="80"/>
      </w:pPr>
      <w:r>
        <w:t>[7] Frajerman, A., Morvan, Y., Krebs, M. O., Gorwood, P., &amp; Chaumette, B. (2019). Burnout in medical students before residency: A systematic review and meta-analysis. European Psychiatry, 55, 36-42. https://doi.org/10.1016/j.eurpsy.2018.08.006</w:t>
      </w:r>
    </w:p>
    <w:p w:rsidR="00A43BB6" w:rsidRDefault="0044650C">
      <w:pPr>
        <w:spacing w:after="80"/>
      </w:pPr>
      <w:r>
        <w:lastRenderedPageBreak/>
        <w:t>[8] Erschens, R., Keifenheim, K. E., Herrmann-Werner, A., Loda, T., Schwille-Kiuntke, J., Bugaj, T. J., ... &amp; Junne, F. (2019). Professional burnout among medical students. BMC Medical Education, 19(1), 1-10.</w:t>
      </w:r>
    </w:p>
    <w:p w:rsidR="00A43BB6" w:rsidRDefault="0044650C">
      <w:pPr>
        <w:spacing w:after="80"/>
      </w:pPr>
      <w:r>
        <w:t>[9] Almutairi, H., Alsubaiei, A., Abduljawad, S., Alshatti, A., Fekih-Romdhane, F., Husni, M., &amp; Jahrami, H. (2022). Prevalence of burnout in medical students: A systematic review and meta-analysis. International Journal of Social Psychiatry, 68(6), 1157-1170. https://doi.org/10.1177/00207640221087413</w:t>
      </w:r>
    </w:p>
    <w:p w:rsidR="00A43BB6" w:rsidRDefault="0044650C">
      <w:pPr>
        <w:spacing w:after="80"/>
      </w:pPr>
      <w:r>
        <w:t>[10] World Health Organization. (2019). International statistical classification of diseases and related health problems (11th ed.). WHO.</w:t>
      </w:r>
    </w:p>
    <w:p w:rsidR="00A43BB6" w:rsidRDefault="0044650C">
      <w:pPr>
        <w:spacing w:after="80"/>
      </w:pPr>
      <w:r>
        <w:t>[11] Hossain, M. T., Ahammed, B., Chanda, S. K., Jahan, N., Ela, M. Z., &amp; Islam, M. N. (2020). Social and electronic media exposure and generalized anxiety disorder among people during COVID-19 outbreak in Bangladesh: A preliminary observation. PLOS ONE, 15(9), e0238974. https://doi.org/10.1371/journal.pone.0238974</w:t>
      </w:r>
    </w:p>
    <w:p w:rsidR="00A43BB6" w:rsidRDefault="0044650C">
      <w:pPr>
        <w:spacing w:after="80"/>
      </w:pPr>
      <w:r>
        <w:t>[12] Ahmed, O., Hossain, K. N., &amp; Siddiqui, M. N. (2023). University student mental health in Bangladesh: Challenges and opportunities. Asian Journal of Social Health and Behavior, 6(2), 45-53.</w:t>
      </w:r>
    </w:p>
    <w:p w:rsidR="00A43BB6" w:rsidRDefault="0044650C">
      <w:pPr>
        <w:spacing w:after="80"/>
      </w:pPr>
      <w:r>
        <w:t>[13] Hossain, M. T., Ahammed, B., Chanda, S. K., Jahan, N., Ela, M. Z., &amp; Islam, M. N. (2021). Mental health status of Bangladeshi university students during the COVID-19 pandemic. Journal of Affective Disorders Reports, 4, 100092. https://doi.org/10.1016/j.jadr.2021.100092</w:t>
      </w:r>
    </w:p>
    <w:p w:rsidR="00A43BB6" w:rsidRDefault="0044650C">
      <w:pPr>
        <w:spacing w:after="80"/>
      </w:pPr>
      <w:r>
        <w:t>[14] Faisal, R. A., Jobe, M. C., Ahmed, O., &amp; Sharker, T. (2021). Mental health status, anxiety, and depression levels of Bangladeshi university students during the COVID-19 pandemic. International Journal of Mental Health and Addiction, 20(3), 1500-1515. https://doi.org/10.1007/s11469-020-00458-y</w:t>
      </w:r>
    </w:p>
    <w:p w:rsidR="00A43BB6" w:rsidRDefault="0044650C">
      <w:pPr>
        <w:spacing w:after="80"/>
      </w:pPr>
      <w:r>
        <w:t>[15] Salmela-Aro, K., Tolvanen, A., &amp; Nurmi, J. E. (2009). Achievement strategies during university studies predict early career burnout and engagement. Journal of Vocational Behavior, 75(2), 162-172. https://doi.org/10.1016/j.jvb.2009.03.009</w:t>
      </w:r>
    </w:p>
    <w:p w:rsidR="00A43BB6" w:rsidRDefault="0044650C">
      <w:pPr>
        <w:spacing w:after="80"/>
      </w:pPr>
      <w:r>
        <w:t>[16] Manzano-Garcia, G., &amp; Ayala-Calvo, J. C. (2013). New perspectives: Towards an integration of the concept "burnout" and its explanatory models. Anales de Psicologia, 29(3), 800-809. https://doi.org/10.6018/analesps.29.3.161241</w:t>
      </w:r>
    </w:p>
    <w:p w:rsidR="00A43BB6" w:rsidRDefault="0044650C">
      <w:pPr>
        <w:spacing w:after="80"/>
      </w:pPr>
      <w:r>
        <w:t>[17] Hastie, T., Tibshirani, R., &amp; Friedman, J. (2009). The elements of statistical learning: Data mining, inference, and prediction (2nd ed.). Springer.</w:t>
      </w:r>
    </w:p>
    <w:p w:rsidR="00A43BB6" w:rsidRDefault="0044650C">
      <w:pPr>
        <w:spacing w:after="80"/>
      </w:pPr>
      <w:r>
        <w:t>[18] Bzdok, D., &amp; Meyer-Lindenberg, A. (2018). Machine learning for precision psychiatry: Opportunities and challenges. Biological Psychiatry: Cognitive Neuroscience and Neuroimaging, 3(3), 223-230. https://doi.org/10.1016/j.bpsc.2017.11.007</w:t>
      </w:r>
    </w:p>
    <w:p w:rsidR="00A43BB6" w:rsidRDefault="0044650C">
      <w:pPr>
        <w:spacing w:after="80"/>
      </w:pPr>
      <w:r>
        <w:t>[19] Iatrellis, O., Savvas, I. K., Fitsilis, P., &amp; Gerogiannis, V. C. (2021). A two-phase machine learning approach for predicting student outcomes. Education and Information Technologies, 26(1), 69-88.</w:t>
      </w:r>
    </w:p>
    <w:p w:rsidR="00A43BB6" w:rsidRDefault="0044650C">
      <w:pPr>
        <w:spacing w:after="80"/>
      </w:pPr>
      <w:r>
        <w:t>[20] Sharma, B., Lee, C. S., &amp; Kim, Y. (2021). Burnout among students: A systematic review and meta-analysis of behavioral risk factors. Educational Psychology Review, 33(2), 481-505.</w:t>
      </w:r>
    </w:p>
    <w:p w:rsidR="00A43BB6" w:rsidRDefault="0044650C">
      <w:pPr>
        <w:spacing w:after="80"/>
      </w:pPr>
      <w:r>
        <w:t>[21] Steyerberg, E. W., &amp; Harrell, F. E. (2016). Prediction models need appropriate internal, internal-external, and external validation. Journal of Clinical Epidemiology, 69, 245-247. https://doi.org/10.1016/j.jclinepi.2015.04.005</w:t>
      </w:r>
    </w:p>
    <w:p w:rsidR="00A43BB6" w:rsidRDefault="0044650C">
      <w:pPr>
        <w:spacing w:after="80"/>
      </w:pPr>
      <w:r>
        <w:lastRenderedPageBreak/>
        <w:t>[22] Fisher, A., Rudin, C., &amp; Dominici, F. (2019). All models are wrong, but many are useful. Journal of Machine Learning Research, 20(220), 1-81.</w:t>
      </w:r>
    </w:p>
    <w:p w:rsidR="00A43BB6" w:rsidRDefault="0044650C">
      <w:pPr>
        <w:spacing w:after="80"/>
      </w:pPr>
      <w:r>
        <w:t>[23] Gunning, D., Stefik, M., Choi, J., Miller, T., Stumpf, S., &amp; Yang, G. Z. (2019). XAI - Explainable artificial intelligence. Science Robotics, 4(37), eaay7120. https://doi.org/10.1126/scirobotics.aay7120</w:t>
      </w:r>
    </w:p>
    <w:p w:rsidR="00A43BB6" w:rsidRDefault="0044650C">
      <w:pPr>
        <w:spacing w:after="80"/>
      </w:pPr>
      <w:r>
        <w:t>[24] Lundberg, S. M., &amp; Lee, S.-I. (2017). A unified approach to interpreting model predictions. Advances in Neural Information Processing Systems, 30, 4765-4774.</w:t>
      </w:r>
    </w:p>
    <w:p w:rsidR="00A43BB6" w:rsidRDefault="0044650C">
      <w:pPr>
        <w:spacing w:after="80"/>
      </w:pPr>
      <w:r>
        <w:t>[25] Molnar, C. (2022). Interpretable machine learning: A guide for making black box models explainable (2nd ed.). Independently Published.</w:t>
      </w:r>
    </w:p>
    <w:p w:rsidR="00A43BB6" w:rsidRDefault="0044650C">
      <w:pPr>
        <w:spacing w:after="80"/>
      </w:pPr>
      <w:r>
        <w:t>[26] Creswell, J. W., &amp; Plano Clark, V. L. (2018). Designing and conducting mixed methods research (3rd ed.). SAGE Publications.</w:t>
      </w:r>
    </w:p>
    <w:p w:rsidR="00A43BB6" w:rsidRDefault="0044650C">
      <w:pPr>
        <w:spacing w:after="80"/>
      </w:pPr>
      <w:r>
        <w:t>[27] Tashakkori, A., &amp; Teddlie, C. (2010). SAGE handbook of mixed methods in social &amp; behavioral research. SAGE publications.</w:t>
      </w:r>
    </w:p>
    <w:p w:rsidR="00A43BB6" w:rsidRDefault="0044650C">
      <w:pPr>
        <w:spacing w:after="80"/>
      </w:pPr>
      <w:r>
        <w:t>[28] Johnson, R. B., Onwuegbuzie, A. J., &amp; Turner, L. A. (2007). Toward a definition of mixed methods research. Journal of Mixed Methods Research, 1(2), 112-133.</w:t>
      </w:r>
    </w:p>
    <w:p w:rsidR="00A43BB6" w:rsidRDefault="0044650C">
      <w:pPr>
        <w:spacing w:after="80"/>
      </w:pPr>
      <w:r>
        <w:t>[29] Rajkomar, A., Hardt, M., Howell, M. D., Corrado, G., &amp; Kipnis, M. H. (2018). Ensuring fairness in machine learning to advance health equity. Annals of Internal Medicine, 169(12), 866-872.</w:t>
      </w:r>
    </w:p>
    <w:p w:rsidR="00A43BB6" w:rsidRDefault="0044650C">
      <w:pPr>
        <w:spacing w:after="80"/>
      </w:pPr>
      <w:r>
        <w:t>[30] Collins, G. S., Reitsma, J. B., Altman, D. G., &amp; Moons, K. G. (2015). Transparent reporting of a multivariable prediction model for individual prognosis or diagnosis (TRIPOD): The TRIPOD statement. BMJ, 350, g7594.</w:t>
      </w:r>
    </w:p>
    <w:p w:rsidR="00A43BB6" w:rsidRDefault="0044650C">
      <w:pPr>
        <w:spacing w:after="80"/>
      </w:pPr>
      <w:r>
        <w:t>[31] Hobfoll, S. E. (1989). Conservation of resources: A new attempt at conceptualizing stress. American Psychologist, 44(3), 513-524.</w:t>
      </w:r>
    </w:p>
    <w:p w:rsidR="00A43BB6" w:rsidRDefault="0044650C">
      <w:pPr>
        <w:spacing w:after="80"/>
      </w:pPr>
      <w:r>
        <w:t>[32] Salmela-Aro, K., &amp; Upadyaya, K. (2014). School burnout and engagement in the context of demands-resources model. British Journal of Educational Psychology, 84(1), 137-151.</w:t>
      </w:r>
    </w:p>
    <w:p w:rsidR="00A43BB6" w:rsidRDefault="0044650C">
      <w:pPr>
        <w:spacing w:after="80"/>
      </w:pPr>
      <w:r>
        <w:t>[33] Hobfoll, S. E., Halbesleben, J., Neveu, J. P., &amp; Westman, M. (2018). Conservation of resources in the organizational context: The reality of resources and their consequences. Annual Review of Organizational Psychology and Organizational Behavior, 5, 103-128.</w:t>
      </w:r>
    </w:p>
    <w:p w:rsidR="00A43BB6" w:rsidRDefault="0044650C">
      <w:pPr>
        <w:spacing w:after="80"/>
      </w:pPr>
      <w:r>
        <w:t>[34] Bakker, A. B., &amp; Demerouti, E. (2007). The job demands-resources model: State of the art. Journal of Managerial Psychology, 22(3), 309-328.</w:t>
      </w:r>
    </w:p>
    <w:p w:rsidR="00A43BB6" w:rsidRDefault="0044650C">
      <w:pPr>
        <w:spacing w:after="80"/>
      </w:pPr>
      <w:r>
        <w:t>[35] Bakker, A. B., &amp; Demerouti, E. (2017). Job demands-resources theory: Taking stock and looking forward. Journal of Occupational Health Psychology, 22(3), 273-285. https://doi.org/10.1037/ocp0000056</w:t>
      </w:r>
    </w:p>
    <w:p w:rsidR="00A43BB6" w:rsidRDefault="0044650C">
      <w:pPr>
        <w:spacing w:after="80"/>
      </w:pPr>
      <w:r>
        <w:t>[36] Ryan, R. M., &amp; Deci, E. L. (2017). Self-determination theory: Basic psychological needs in motivation, development, and wellness. Guilford Publications.</w:t>
      </w:r>
    </w:p>
    <w:p w:rsidR="00A43BB6" w:rsidRDefault="0044650C">
      <w:pPr>
        <w:spacing w:after="80"/>
      </w:pPr>
      <w:r>
        <w:t>[37] Denzin, N. K. (1978). The research act: A theoretical introduction to sociological methods (2nd ed.). McGraw-Hill.</w:t>
      </w:r>
    </w:p>
    <w:p w:rsidR="00A43BB6" w:rsidRDefault="0044650C">
      <w:pPr>
        <w:spacing w:after="80"/>
      </w:pPr>
      <w:r>
        <w:t>[38] Freudenberger, H. J. (1974). Staff burn-out. Journal of Social Issues, 30(1), 159-165.</w:t>
      </w:r>
    </w:p>
    <w:p w:rsidR="00A43BB6" w:rsidRDefault="0044650C">
      <w:pPr>
        <w:spacing w:after="80"/>
      </w:pPr>
      <w:r>
        <w:t>[39] Maslach, C., &amp; Jackson, S. E. (1981). The measurement of experienced burnout. Journal of Occupational Behavior, 2(2), 99-113.</w:t>
      </w:r>
    </w:p>
    <w:p w:rsidR="00A43BB6" w:rsidRDefault="0044650C">
      <w:pPr>
        <w:spacing w:after="80"/>
      </w:pPr>
      <w:r>
        <w:lastRenderedPageBreak/>
        <w:t>[40] Schaufeli, W. B., Bakker, A. B., &amp; Van Rhenen, W. (2009). How changes in job demands and resources predict burnout, work engagement, and sickness absenteeism. Journal of Organizational Behavior, 30(7), 893-917. https://doi.org/10.1002/job.595</w:t>
      </w:r>
    </w:p>
    <w:p w:rsidR="00A43BB6" w:rsidRDefault="0044650C">
      <w:pPr>
        <w:spacing w:after="80"/>
      </w:pPr>
      <w:r>
        <w:t>[41] Fazullina, G., Sagitova, R., &amp; Khakimova, R. (2020). Burnout syndrome among university students. Revista Inclusiones, 7, 223-233.</w:t>
      </w:r>
    </w:p>
    <w:p w:rsidR="00A43BB6" w:rsidRDefault="0044650C">
      <w:pPr>
        <w:spacing w:after="80"/>
      </w:pPr>
      <w:r>
        <w:t>[42] Robins, T. G., Roberts, R. M., &amp; Sarris, A. (2018). Burnout and engagement in health profession students. Nurse Education Today, 69, 100-104.</w:t>
      </w:r>
    </w:p>
    <w:p w:rsidR="00A43BB6" w:rsidRDefault="0044650C">
      <w:pPr>
        <w:spacing w:after="80"/>
      </w:pPr>
      <w:r>
        <w:t>[43] Wiese, C. W., Tay, L., Thoresen, C. J., &amp; Kaplan, S. A. (2018). A meta-analysis of burnout and job performance: Theoretical extensions and methodological implications. Journal of Applied Psychology, 103(11), 1152-1172. https://doi.org/10.1037/apl0000329</w:t>
      </w:r>
    </w:p>
    <w:p w:rsidR="00A43BB6" w:rsidRDefault="0044650C">
      <w:pPr>
        <w:spacing w:after="80"/>
      </w:pPr>
      <w:r>
        <w:t>[44] Lin, S. H., &amp; Huang, Y. C. (2014). Life stress and academic burnout. Active Learning in Higher Education, 15(1), 77-90.</w:t>
      </w:r>
    </w:p>
    <w:p w:rsidR="00A43BB6" w:rsidRDefault="0044650C">
      <w:pPr>
        <w:spacing w:after="80"/>
      </w:pPr>
      <w:r>
        <w:t>[45] Walburg, V. (2014). Burnout among high school students: A literature review. Children and Youth Services Review, 42, 28-33.</w:t>
      </w:r>
    </w:p>
    <w:p w:rsidR="00A43BB6" w:rsidRDefault="0044650C">
      <w:pPr>
        <w:spacing w:after="80"/>
      </w:pPr>
      <w:r>
        <w:t>[46] Koutsimani, P., Montgomery, A., &amp; Georganta, K. (2019). The relationship between burnout, depression, and anxiety: A systematic review and meta-analysis. Frontiers in Psychology, 10, 284. https://doi.org/10.3389/fpsyg.2019.00284</w:t>
      </w:r>
    </w:p>
    <w:p w:rsidR="00A43BB6" w:rsidRDefault="0044650C">
      <w:pPr>
        <w:spacing w:after="80"/>
      </w:pPr>
      <w:r>
        <w:t>[47] Riaz, M., Ali, M., &amp; Tariq, A. (2021). Psychological burden and coping strategies among university students during times of systemic crisis. International Journal of Mental Health Systems, 15(1), 1-9.</w:t>
      </w:r>
    </w:p>
    <w:p w:rsidR="00A43BB6" w:rsidRDefault="0044650C">
      <w:pPr>
        <w:spacing w:after="80"/>
      </w:pPr>
      <w:r>
        <w:t>[48] Shahidi, S., Akbari, H., &amp; Zargar, F. (2023). The role of anxiety sensitivity in academic burnout among university students. Current Psychology, 42(8), 6891-6900.</w:t>
      </w:r>
    </w:p>
    <w:p w:rsidR="00A43BB6" w:rsidRDefault="0044650C">
      <w:pPr>
        <w:spacing w:after="80"/>
      </w:pPr>
      <w:r>
        <w:t>[49] Bianchi, R., Schonfeld, I. S., &amp; Laurent, E. (2015). Burnout-depression overlap: A review. Clinical Psychology Review, 36, 28-41.</w:t>
      </w:r>
    </w:p>
    <w:p w:rsidR="00A43BB6" w:rsidRDefault="0044650C">
      <w:pPr>
        <w:spacing w:after="80"/>
      </w:pPr>
      <w:r>
        <w:t>[50] Alarcon, G., Eschleman, K. J., &amp; Bowling, N. A. (2009). Relationships between personality variables and burnout: A meta-analysis. Work &amp; Stress, 23(3), 244-263.</w:t>
      </w:r>
    </w:p>
    <w:p w:rsidR="00A43BB6" w:rsidRDefault="0044650C">
      <w:pPr>
        <w:spacing w:after="80"/>
      </w:pPr>
      <w:r>
        <w:t>[51] Rahmati, Z. (2015). The study of academic burnout in students with high and low self-efficacy. Procedia - Social and Behavioral Sciences, 171, 49-55.</w:t>
      </w:r>
    </w:p>
    <w:p w:rsidR="00A43BB6" w:rsidRDefault="0044650C">
      <w:pPr>
        <w:spacing w:after="80"/>
      </w:pPr>
      <w:r>
        <w:t>[52] Jackson, E. R., Shanafelt, T. D., Hasan, O., Satele, D. V., &amp; Dyrbye, L. N. (2016). Burnout and alcohol abuse/dependence among US medical students. Academic Medicine, 91(9), 1251-1256.</w:t>
      </w:r>
    </w:p>
    <w:p w:rsidR="00A43BB6" w:rsidRDefault="0044650C">
      <w:pPr>
        <w:spacing w:after="80"/>
      </w:pPr>
      <w:r>
        <w:t>[53] Dyrbye, L. N., Thomas, M. R., Massie, F. S., Power, D. V., Eacker, A., Harper, W., ... &amp; Shanafelt, T. D. (2008). Burnout and suicidal ideation among US medical students. Annals of Internal Medicine, 149(5), 334-341.</w:t>
      </w:r>
    </w:p>
    <w:p w:rsidR="00A43BB6" w:rsidRDefault="0044650C">
      <w:pPr>
        <w:spacing w:after="80"/>
      </w:pPr>
      <w:r>
        <w:t>[54] Dahlin, M. E., &amp; Runeson, B. (2007). Burnout and psychiatric morbidity among medical students entering clinical training. BMC Medical Education, 7(1), 1-8.</w:t>
      </w:r>
    </w:p>
    <w:p w:rsidR="00A43BB6" w:rsidRDefault="0044650C">
      <w:pPr>
        <w:spacing w:after="80"/>
      </w:pPr>
      <w:r>
        <w:t>[55] Celik, E., &amp; Yildirim, T. (2022). Academic burnout among Turkish university students during the COVID-19 pandemic. International Journal of Educational Research Open, 3, 100147.</w:t>
      </w:r>
    </w:p>
    <w:p w:rsidR="00A43BB6" w:rsidRDefault="0044650C">
      <w:pPr>
        <w:spacing w:after="80"/>
      </w:pPr>
      <w:r>
        <w:t>[56] Almeida, G. C., Souza, H. R., Almeida, P. C., Almeida, B. C., &amp; Almeida, G. H. (2021). The prevalence of burnout syndrome in medical students. Archives of Clinical Psychiatry, 48(1), 40-47.</w:t>
      </w:r>
    </w:p>
    <w:p w:rsidR="00A43BB6" w:rsidRDefault="0044650C">
      <w:pPr>
        <w:spacing w:after="80"/>
      </w:pPr>
      <w:r>
        <w:lastRenderedPageBreak/>
        <w:t>[57] Silva, R. M. D., Lopes, A. A. F., &amp; Ribeiro, H. K. P. (2022). Burnout syndrome among Brazilian university students. Revista Brasileira de Enfermagem, 75(4), e20210470.</w:t>
      </w:r>
    </w:p>
    <w:p w:rsidR="00A43BB6" w:rsidRDefault="0044650C">
      <w:pPr>
        <w:spacing w:after="80"/>
      </w:pPr>
      <w:r>
        <w:t>[58] Richardson, T., Elliott, P., &amp; Roberts, R. (2017). Relationship between loneliness and mental health in students. Journal of Public Mental Health, 16(2), 48-54.</w:t>
      </w:r>
    </w:p>
    <w:p w:rsidR="00A43BB6" w:rsidRDefault="0044650C">
      <w:pPr>
        <w:spacing w:after="80"/>
      </w:pPr>
      <w:r>
        <w:t>[59] Walsemann, K. M., Gee, G. C., &amp; Gentile, D. (2015). Sick of our loans: Student borrowing and the mental health of young adults in the United States. Social Science &amp; Medicine, 124, 85-93.</w:t>
      </w:r>
    </w:p>
    <w:p w:rsidR="00A43BB6" w:rsidRDefault="0044650C">
      <w:pPr>
        <w:spacing w:after="80"/>
      </w:pPr>
      <w:r>
        <w:t>[60] Bask, M., &amp; Salmela-Aro, K. (2013). Burned out to drop out: Exploring the relationship between school burnout and school dropout. European Journal of Psychology of Education, 28(2), 511-528.</w:t>
      </w:r>
    </w:p>
    <w:p w:rsidR="00A43BB6" w:rsidRDefault="0044650C">
      <w:pPr>
        <w:spacing w:after="80"/>
      </w:pPr>
      <w:r>
        <w:t>[61] Robotham, D., &amp; Julian, C. (2006). Stress and the higher education student: A critical review of the literature. Journal of Further and Higher Education, 30(2), 107-117.</w:t>
      </w:r>
    </w:p>
    <w:p w:rsidR="00A43BB6" w:rsidRDefault="0044650C">
      <w:pPr>
        <w:spacing w:after="80"/>
      </w:pPr>
      <w:r>
        <w:t>[62] Naczenski, L. M., Vries, J. D., van Hooff, M. L., &amp; Kompier, M. A. (2017). Systematic review of the association between physical activity and burnout. Journal of Occupational Health, 59(6), 477-494.</w:t>
      </w:r>
    </w:p>
    <w:p w:rsidR="00A43BB6" w:rsidRDefault="0044650C">
      <w:pPr>
        <w:spacing w:after="80"/>
      </w:pPr>
      <w:r>
        <w:t>[63] Hershner, S. D., &amp; Chervin, R. D. (2014). Causes and consequences of sleepiness among college students. Nature and Science of Sleep, 6, 73-84.</w:t>
      </w:r>
    </w:p>
    <w:p w:rsidR="00A43BB6" w:rsidRDefault="0044650C">
      <w:pPr>
        <w:spacing w:after="80"/>
      </w:pPr>
      <w:r>
        <w:t>[64] Lund, H. G., Reider, B. D., Whiting, A. B., &amp; Prichard, J. R. (2010). Sleep patterns and predictors of disturbed sleep in a large population of college students. Journal of Adolescent Health, 46(2), 124-132.</w:t>
      </w:r>
    </w:p>
    <w:p w:rsidR="00A43BB6" w:rsidRDefault="0044650C">
      <w:pPr>
        <w:spacing w:after="80"/>
      </w:pPr>
      <w:r>
        <w:t>[65] Ahrberg, K., Dresler, M., Niedermaier, S., Steiger, A., &amp; Genzel, L. (2012). The interaction between sleep quality and academic performance. Journal of Psychiatric Research, 46(12), 1618-1622.</w:t>
      </w:r>
    </w:p>
    <w:p w:rsidR="00A43BB6" w:rsidRDefault="0044650C">
      <w:pPr>
        <w:spacing w:after="80"/>
      </w:pPr>
      <w:r>
        <w:t>[66] Romero-Blanco, C., Rodriguez-Almagro, J., Onieva-Zafra, M. D., Parra-Fernandez, M. L., Prado-Laguna, M. D. C., &amp; Hernandez-Martinez, A. (2020). Sleep pattern changes in nursing students during the COVID-19 lockdown. International Journal of Environmental Research and Public Health, 17(14), 5222. https://doi.org/10.3390/ijerph17145222</w:t>
      </w:r>
    </w:p>
    <w:p w:rsidR="00A43BB6" w:rsidRDefault="0044650C">
      <w:pPr>
        <w:spacing w:after="80"/>
      </w:pPr>
      <w:r>
        <w:t>[67] Woods, H. C., &amp; Scott, H. (2016). #Sleepyteens: Social media use in adolescence is associated with poor sleep quality, anxiety, depression and low self-esteem. Journal of Adolescence, 51, 41-49.</w:t>
      </w:r>
    </w:p>
    <w:p w:rsidR="00A43BB6" w:rsidRDefault="0044650C">
      <w:pPr>
        <w:spacing w:after="80"/>
      </w:pPr>
      <w:r>
        <w:t>[68] Primack, B. A., Shensa, A., Escobar-Viera, C. G., Barrett, E. L., Sidani, J. E., Colditz, J. B., &amp; James, A. E. (2017). Use of multiple social media platforms and symptoms of depression and anxiety. Computers in Human Behavior, 69, 1-9.</w:t>
      </w:r>
    </w:p>
    <w:p w:rsidR="00A43BB6" w:rsidRDefault="0044650C">
      <w:pPr>
        <w:spacing w:after="80"/>
      </w:pPr>
      <w:r>
        <w:t>[69] Plackett, R., Blythe, A., Copello, A., &amp; Mars, B. (2020). The impact of social media use on adolescent mental health: A structured review. Journal of Adolescent Health, 67(1), 12-21. https://doi.org/10.1016/j.jadohealth.2020.01.015</w:t>
      </w:r>
    </w:p>
    <w:p w:rsidR="00A43BB6" w:rsidRDefault="0044650C">
      <w:pPr>
        <w:spacing w:after="80"/>
      </w:pPr>
      <w:r>
        <w:t>[70] Keles, B., McCrae, N., &amp; Grealish, A. (2020). A systematic review: the influence of social media on depression, anxiety and psychological distress in adolescents. International Journal of Adolescence and Youth, 25(1), 79-93. https://doi.org/10.1080/02673843.2019.1590851</w:t>
      </w:r>
    </w:p>
    <w:p w:rsidR="00A43BB6" w:rsidRDefault="0044650C">
      <w:pPr>
        <w:spacing w:after="80"/>
      </w:pPr>
      <w:r>
        <w:t>[71] Kim, B., Jee, S., Lee, J., An, S., &amp; Lee, S. M. (2018). Relationships between social support and student burnout: A meta-analytic approach. Stress and Health, 34(1), 127-134.</w:t>
      </w:r>
    </w:p>
    <w:p w:rsidR="00A43BB6" w:rsidRDefault="0044650C">
      <w:pPr>
        <w:spacing w:after="80"/>
      </w:pPr>
      <w:r>
        <w:t>[72] Baker, R. S. J. D., &amp; Inventado, P. S. (2014). Educational data mining and learning analytics. In Learning analytics (pp. 61-75). Springer.</w:t>
      </w:r>
    </w:p>
    <w:p w:rsidR="00A43BB6" w:rsidRDefault="0044650C">
      <w:pPr>
        <w:spacing w:after="80"/>
      </w:pPr>
      <w:r>
        <w:lastRenderedPageBreak/>
        <w:t>[73] Romero, C., &amp; Ventura, S. (2020). Educational data mining and learning analytics: An updated survey. Wiley Interdisciplinary Reviews: Data Mining and Knowledge Discovery, 10(3), e1355. https://doi.org/10.1002/widm.1355</w:t>
      </w:r>
    </w:p>
    <w:p w:rsidR="00A43BB6" w:rsidRDefault="0044650C">
      <w:pPr>
        <w:spacing w:after="80"/>
      </w:pPr>
      <w:r>
        <w:t>[74] Greenwell, B. M. (2017). pdp: An R package for constructing partial dependence plots. The R Journal, 9(1), 421–436. https://doi.org/10.32614/RJ-2017-016</w:t>
      </w:r>
    </w:p>
    <w:p w:rsidR="00A43BB6" w:rsidRDefault="0044650C">
      <w:pPr>
        <w:spacing w:after="80"/>
      </w:pPr>
      <w:r>
        <w:t>[75] Shahiri, A. M., Husain, W., &amp; Rashid, N. A. (2015). A review on predicting student performance using data mining techniques. Procedia Computer Science, 72, 414-422.</w:t>
      </w:r>
    </w:p>
    <w:p w:rsidR="00A43BB6" w:rsidRDefault="0044650C">
      <w:pPr>
        <w:spacing w:after="80"/>
      </w:pPr>
      <w:r>
        <w:t>[76] Alhazmi, E., &amp; Sheneamer, A. (2023). Early predicting of students performance in higher education. IEEE Access, 11, 27579-27589. https://doi.org/10.1109/ACCESS.2023.3250702</w:t>
      </w:r>
    </w:p>
    <w:p w:rsidR="00A43BB6" w:rsidRDefault="0044650C">
      <w:pPr>
        <w:spacing w:after="80"/>
      </w:pPr>
      <w:r>
        <w:t>[77] Priya, A., Garg, S., &amp; Tigga, N. P. (2020). Predicting anxiety, depression and stress in modern life using machine learning algorithms. Procedia Computer Science, 167, 1258-1267.</w:t>
      </w:r>
    </w:p>
    <w:p w:rsidR="00A43BB6" w:rsidRDefault="0044650C">
      <w:pPr>
        <w:spacing w:after="80"/>
      </w:pPr>
      <w:r>
        <w:t>[78] Tsanas, A., Little, M. A., Fox, C., &amp; Ramchurn, I. (2016). Objective automatic assessment of sleep quality using wearable sensors and non-linear dynamics. IEEE Transactions on Biomedical Engineering, 63(4), 758-765. https://doi.org/10.1109/TBME.2015.2476832</w:t>
      </w:r>
    </w:p>
    <w:p w:rsidR="00A43BB6" w:rsidRDefault="0044650C">
      <w:pPr>
        <w:spacing w:after="80"/>
      </w:pPr>
      <w:r>
        <w:t>[79] Zheng, X., Chen, Y., &amp; Liu, Y. (2021). Machine learning algorithms for predicting depression among university students. Computers in Human Behavior, 120, 106752. https://doi.org/10.1016/j.chb.2021.106752</w:t>
      </w:r>
    </w:p>
    <w:p w:rsidR="00A43BB6" w:rsidRDefault="0044650C">
      <w:pPr>
        <w:spacing w:after="80"/>
      </w:pPr>
      <w:r>
        <w:t>[80] van der Ploeg, T., Austin, P. C., &amp; Steyerberg, E. W. (2014). Modern modelling techniques are data hungry. BMC Medical Research Methodology, 14(1), 1-11.</w:t>
      </w:r>
    </w:p>
    <w:p w:rsidR="00A43BB6" w:rsidRDefault="0044650C">
      <w:pPr>
        <w:spacing w:after="80"/>
      </w:pPr>
      <w:r>
        <w:t>[81] Davis, J., &amp; Goadrich, M. (2006). The relationship between precision-recall and ROC curves. In Proceedings of the 23rd International Conference on Machine Learning (pp. 233-240). ACM.</w:t>
      </w:r>
    </w:p>
    <w:p w:rsidR="00A43BB6" w:rsidRDefault="0044650C">
      <w:pPr>
        <w:spacing w:after="80"/>
      </w:pPr>
      <w:r>
        <w:t>[82] Tsiakmaki, M., Kostopoulos, G., Kotsiantis, S., &amp; Ragos, O. (2020). Implementing AutoML in educational data mining for prediction tasks. Applied Sciences, 10(1), 90.</w:t>
      </w:r>
    </w:p>
    <w:p w:rsidR="00A43BB6" w:rsidRDefault="0044650C">
      <w:pPr>
        <w:spacing w:after="80"/>
      </w:pPr>
      <w:r>
        <w:t>[83] Lundberg, S. M., Erion, G., Chen, H., DeGrave, A., Prutkin, J. M., Nair, B., Katz, R., Himmelfarb, J., Bansal, N., &amp; Lee, S. I. (2020). From local explanations to global understanding with explainable AI for trees. Nature Machine Intelligence, 2(1), 56-67. https://doi.org/10.1038/s42256-019-0138-9</w:t>
      </w:r>
    </w:p>
    <w:p w:rsidR="00A43BB6" w:rsidRDefault="0044650C">
      <w:pPr>
        <w:spacing w:after="80"/>
      </w:pPr>
      <w:r>
        <w:t>[84] Breiman, L. (2001). Random forests. Machine Learning, 45(1), 5-32. https://doi.org/10.1023/A:1010933404324</w:t>
      </w:r>
    </w:p>
    <w:p w:rsidR="00A43BB6" w:rsidRDefault="0044650C">
      <w:pPr>
        <w:spacing w:after="80"/>
      </w:pPr>
      <w:r>
        <w:t>[85] Strobl, C., Boulesteix, A. L., Zeileis, A., &amp; Hothorn, T. (2007). Bias in random forest variable importance measures. BMC Bioinformatics, 8(1), 1-21.</w:t>
      </w:r>
    </w:p>
    <w:p w:rsidR="00A43BB6" w:rsidRDefault="0044650C">
      <w:pPr>
        <w:spacing w:after="80"/>
      </w:pPr>
      <w:r>
        <w:t>[86] Nicodemus, K. K., Malley, J. D., Strobl, C., &amp; Ziegler, A. (2010). The behaviour of random forest permutation-based variable importance measures under predictor correlation. BMC Bioinformatics, 11(1), 1-13.</w:t>
      </w:r>
    </w:p>
    <w:p w:rsidR="00A43BB6" w:rsidRDefault="0044650C">
      <w:pPr>
        <w:spacing w:after="80"/>
      </w:pPr>
      <w:r>
        <w:t>[87] Friedman, J. H. (2001). Greedy function approximation: A gradient boosting machine. Annals of Statistics, 29(5), 1189-1232.</w:t>
      </w:r>
    </w:p>
    <w:p w:rsidR="00A43BB6" w:rsidRDefault="0044650C">
      <w:pPr>
        <w:spacing w:after="80"/>
      </w:pPr>
      <w:r>
        <w:t>[88] Hooker, G., Mentch, L., &amp; Zhou, S. (2021). Unrestricted permutation forces extrapolation. Statistics and Computing, 31(5), 1-11.</w:t>
      </w:r>
    </w:p>
    <w:p w:rsidR="00A43BB6" w:rsidRDefault="0044650C">
      <w:pPr>
        <w:spacing w:after="80"/>
      </w:pPr>
      <w:r>
        <w:t xml:space="preserve">[89] Goldstein, A., Kapelner, A., Bleich, J., &amp; Pitkin, E. (2015). Peeking inside the black box: Visualizing statistical learning with plots of individual conditional expectation. Journal of </w:t>
      </w:r>
      <w:r>
        <w:lastRenderedPageBreak/>
        <w:t>Computational and Graphical Statistics, 24(1), 44-65. https://doi.org/10.1080/10618600.2014.907095</w:t>
      </w:r>
    </w:p>
    <w:p w:rsidR="00A43BB6" w:rsidRDefault="0044650C">
      <w:pPr>
        <w:spacing w:after="80"/>
      </w:pPr>
      <w:r>
        <w:t>[90] Sarkar, S., Ray, A., &amp; Sharma, M. (2022). Explainable AI in healthcare and medicine: A systematic review. Journal of Medical Systems, 46(12), 85. https://doi.org/10.1007/s10916-022-01869-7</w:t>
      </w:r>
    </w:p>
    <w:p w:rsidR="00A43BB6" w:rsidRDefault="0044650C">
      <w:pPr>
        <w:spacing w:after="80"/>
      </w:pPr>
      <w:r>
        <w:t>[91] Namoun, A., &amp; Alshanqiti, A. (2021). Predicting student performance using data mining and learning analytics techniques. Applied Sciences, 11(1), 237.</w:t>
      </w:r>
    </w:p>
    <w:p w:rsidR="00A43BB6" w:rsidRDefault="0044650C">
      <w:pPr>
        <w:spacing w:after="80"/>
      </w:pPr>
      <w:r>
        <w:t>[92] Braun, V., &amp; Clarke, V. (2021). One size fits all? What counts as quality practice in (reflexive) thematic analysis? Qualitative Research in Psychology, 18(3), 328-352. https://doi.org/10.1080/14780887.2020.1769238</w:t>
      </w:r>
    </w:p>
    <w:p w:rsidR="00A43BB6" w:rsidRDefault="0044650C">
      <w:pPr>
        <w:spacing w:after="80"/>
      </w:pPr>
      <w:r>
        <w:t>[93] Kristensen, T. S., Borritz, M., Villadsen, E., &amp; Christensen, K. B. (2005). The Copenhagen Burnout Inventory: A new tool for the assessment of burnout. Work &amp; Stress, 19(3), 192-207. https://doi.org/10.1080/02678370500297720</w:t>
      </w:r>
    </w:p>
    <w:p w:rsidR="00A43BB6" w:rsidRDefault="0044650C">
      <w:pPr>
        <w:spacing w:after="80"/>
      </w:pPr>
      <w:r>
        <w:t>[94] 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rsidR="00A43BB6" w:rsidRDefault="0044650C">
      <w:pPr>
        <w:spacing w:after="80"/>
      </w:pPr>
      <w:r>
        <w:t>[95] He, H., &amp; Garcia, E. A. (2009). Learning from imbalanced data. IEEE Transactions on Knowledge and Data Engineering, 21(9), 1263-1284. https://doi.org/10.1109/TKDE.2008.239</w:t>
      </w:r>
    </w:p>
    <w:p w:rsidR="00A43BB6" w:rsidRDefault="0044650C">
      <w:pPr>
        <w:spacing w:after="80"/>
      </w:pPr>
      <w:r>
        <w:t>[96] Chen, T., &amp; Guestrin, C. (2016). XGBoost: A scalable tree boosting system. In Proceedings of the 22nd ACM SIGKDD International Conference on Knowledge Discovery and Data Mining (pp. 785-794). ACM. https://doi.org/10.1145/2939672.2939785</w:t>
      </w:r>
    </w:p>
    <w:p w:rsidR="00A43BB6" w:rsidRDefault="0044650C">
      <w:pPr>
        <w:spacing w:after="80"/>
      </w:pPr>
      <w:r>
        <w:t>[97] Prokhorenkova, L., Gusev, G., Vorobev, A., Dorogush, A. V., &amp; Gulin, A. (2018). CatBoost: Unbiased boosting with categorical features. Advances in Neural Information Processing Systems, 31, 6638-6648.</w:t>
      </w:r>
    </w:p>
    <w:p w:rsidR="00A43BB6" w:rsidRDefault="0044650C">
      <w:pPr>
        <w:spacing w:after="80"/>
      </w:pPr>
      <w:r>
        <w:t>[98] Braun, V., &amp; Clarke, V. (2006). Using thematic analysis in psychology. Qualitative Research in Psychology, 3(2), 77-101. https://doi.org/10.1191/1478088706qp063oa</w:t>
      </w:r>
    </w:p>
    <w:p w:rsidR="00A43BB6" w:rsidRDefault="0044650C">
      <w:pPr>
        <w:spacing w:after="80"/>
      </w:pPr>
      <w:r>
        <w:t>[99] Farmer, T., Robinson, K., Elliott, S. J., &amp; Eyles, J. (2006). Developing and implementing a triangulation protocol for qualitative health research. Qualitative Health Research, 16(3), 377-394. https://doi.org/10.1177/1049732305285708</w:t>
      </w:r>
    </w:p>
    <w:p w:rsidR="00A43BB6" w:rsidRDefault="0044650C">
      <w:pPr>
        <w:spacing w:after="80"/>
      </w:pPr>
      <w:r>
        <w:t>[100] Tukey, J. W. (1977). Exploratory data analysis. Addison-Wesley.</w:t>
      </w:r>
    </w:p>
    <w:p w:rsidR="00A43BB6" w:rsidRDefault="0044650C">
      <w:pPr>
        <w:spacing w:after="80"/>
      </w:pPr>
      <w:r>
        <w:t>[101] Hirshkowitz, M., Whiton, K., Albert, S. M., Alessi, C., Bruni, O., DonCarlos, L., Hazen, N., Herman, J., Katz, E. S., Kheirandish-Gozal, L., Neubauer, D. N., O'Donnell, A. E., Ohayon, M., Peever, J., Rawding, R., Sachdeva, R. C., Setters, B., Vitiello, M. V., Cates, J. C., &amp; Adams Hillard, P. J. (2015). National Sleep Foundation's sleep time duration recommendations: Methodology and results summary. Sleep Health, 1(1), 40-43. https://doi.org/10.1016/j.sleh.2014.12.010</w:t>
      </w:r>
    </w:p>
    <w:p w:rsidR="00A43BB6" w:rsidRDefault="0044650C">
      <w:pPr>
        <w:spacing w:after="80"/>
      </w:pPr>
      <w:r>
        <w:t>[102] Ghasemi, A., &amp; Zahediasl, S. (2012). Normality tests for statistical analysis: A guide for non-statisticians. International Journal of Endocrinology and Metabolism, 10(2), 186-191. https://doi.org/10.5812/ijem.3505</w:t>
      </w:r>
    </w:p>
    <w:p w:rsidR="00A43BB6" w:rsidRDefault="0044650C">
      <w:pPr>
        <w:spacing w:after="80"/>
      </w:pPr>
      <w:r>
        <w:lastRenderedPageBreak/>
        <w:t>[103] O'Brien, R. M. (2007). A caution regarding rules of thumb for variance inflation factors. Quality &amp; Quantity, 41(5), 673-690. https://doi.org/10.1007/s11135-006-9018-6</w:t>
      </w:r>
    </w:p>
    <w:p w:rsidR="00A43BB6" w:rsidRDefault="0044650C">
      <w:pPr>
        <w:spacing w:after="80"/>
      </w:pPr>
      <w:r>
        <w:t>[104] Fawcett, T. (2006). An introduction to ROC analysis. Pattern Recognition Letters, 27(8), 861-874. https://doi.org/10.1016/j.patrec.2005.10.010</w:t>
      </w:r>
    </w:p>
    <w:p w:rsidR="00A43BB6" w:rsidRDefault="0044650C">
      <w:pPr>
        <w:spacing w:after="80"/>
      </w:pPr>
      <w:r>
        <w:t>[105] Strobl, C., Malley, J., &amp; Tutz, G. (2009). An introduction to recursive partitioning: Rationale, application, and characteristics of classification and regression trees, bagging, and random forests. Psychological Methods, 14(4), 323-348. https://doi.org/10.1037/a0016973</w:t>
      </w:r>
    </w:p>
    <w:p w:rsidR="00A43BB6" w:rsidRDefault="0044650C">
      <w:pPr>
        <w:spacing w:after="80"/>
      </w:pPr>
      <w:r>
        <w:t>[106] Mamun, M. A., &amp; Griffiths, M. D. (2019). The psychological impact of extreme weather events and natural disasters on Bangladeshi students. Psychiatry Research, 281, 112574. https://doi.org/10.1016/j.psychres.2019.112574</w:t>
      </w:r>
    </w:p>
    <w:p w:rsidR="00A43BB6" w:rsidRDefault="0044650C">
      <w:pPr>
        <w:spacing w:after="80"/>
      </w:pPr>
      <w:r>
        <w:t>[107] Ali, S., Hossain, M. T., Islam, M. A., &amp; Barna, S. D. (2021). Prevalence of depression, anxiety, and stress among university students in Bangladesh: A systematic review and meta-analysis. Journal of Affective Disorders, 280, 25-34. https://doi.org/10.1016/j.jad.2020.11.054</w:t>
      </w:r>
    </w:p>
    <w:p w:rsidR="00A43BB6" w:rsidRDefault="0044650C">
      <w:pPr>
        <w:spacing w:after="80"/>
      </w:pPr>
      <w:r>
        <w:t>[108] Bzdok, D., Altman, N., &amp; Krzywinski, M. (2018). Statistics versus machine learning. Nature Methods, 15(4), 233-234. https://doi.org/10.1038/nmeth.4642</w:t>
      </w:r>
    </w:p>
    <w:p w:rsidR="00A43BB6" w:rsidRDefault="0044650C">
      <w:pPr>
        <w:spacing w:after="80"/>
      </w:pPr>
      <w:r>
        <w:t>[109] Deci, E. L., &amp; Ryan, R. M. (2000). The "what" and "why" of goal pursuits: Human needs and the self-determination of behavior. Psychological Inquiry, 11(4), 227-268.</w:t>
      </w:r>
    </w:p>
    <w:p w:rsidR="00A43BB6" w:rsidRDefault="0044650C">
      <w:pPr>
        <w:spacing w:after="80"/>
      </w:pPr>
      <w:r>
        <w:t>[110] Fang, J., Wang, X., Wen, Z., &amp; Zhou, J. (2022). Fear of missing out and problematic social media use as mediators between emotional support from social media and phubbing behavior. Addictive Behaviors, 107, 106430.</w:t>
      </w:r>
    </w:p>
    <w:p w:rsidR="00A43BB6" w:rsidRDefault="0044650C">
      <w:pPr>
        <w:spacing w:after="80"/>
      </w:pPr>
      <w:r>
        <w:t>[111] Hossen, M. A., Ali, S., &amp; Mamun, M. A. (2023). Psychological distress and its associated factors among university students in Bangladesh: A multi-institutional study. Journal of Affective Disorders Reports, 11, 100452. https://doi.org/10.1016/j.jadr.2022.100452</w:t>
      </w:r>
    </w:p>
    <w:p w:rsidR="00A43BB6" w:rsidRDefault="0044650C">
      <w:pPr>
        <w:spacing w:after="80"/>
      </w:pPr>
      <w:r>
        <w:t>[112] Islam, M. A., Barna, S. D., Raihan, H., Khan, M. N. A., &amp; Hossain, M. T. (2020). Depression and anxiety among university students during the COVID-19 pandemic in Bangladesh: A web-based cross-sectional survey. PLOS ONE, 15(8), e0238162. https://doi.org/10.1371/journal.pone.0238162</w:t>
      </w:r>
    </w:p>
    <w:p w:rsidR="00A43BB6" w:rsidRDefault="0044650C">
      <w:pPr>
        <w:spacing w:after="80"/>
      </w:pPr>
      <w:r>
        <w:t>[113] Ke, G., Meng, Q., Finley, T., Wang, T., Chen, W., Ma, W., Ye, Q., &amp; Liu, T. Y. (2017). LightGBM: A highly efficient gradient boosting decision tree. Advances in Neural Information Processing Systems, 30, 3146-3154.</w:t>
      </w:r>
    </w:p>
    <w:p w:rsidR="00A43BB6" w:rsidRDefault="0044650C">
      <w:pPr>
        <w:spacing w:after="80"/>
      </w:pPr>
      <w:r>
        <w:t>[114] Moons, K. G., Altman, D. G., Reitsma, J. B., Ioannidis, J. P., Macaskill, P., Steyerberg, E. W., ... &amp; Collins, G. S. (2015). Transparent Reporting of a multivariable prediction model for Individual Prognosis or Diagnosis (TRIPOD): Explanation and elaboration. Annals of Internal Medicine, 162(1), W1-W73.</w:t>
      </w:r>
    </w:p>
    <w:p w:rsidR="00A43BB6" w:rsidRDefault="0044650C">
      <w:pPr>
        <w:spacing w:after="80"/>
      </w:pPr>
      <w:r>
        <w:t>[115] Ng, A. W., Ye, Y. C., &amp; Lee, S. K. (2022). Social media addiction and its impact on college students' mental health: A predictive modeling approach. Journal of Educational Computing Research, 60(3), 675-698. https://doi.org/10.1177/07356331211041926</w:t>
      </w:r>
    </w:p>
    <w:p w:rsidR="00A43BB6" w:rsidRDefault="0044650C">
      <w:pPr>
        <w:spacing w:after="80"/>
      </w:pPr>
      <w:r>
        <w:t>[116] Purvanova, R. K., &amp; Muros, J. P. (2010). Gender differences in burnout: A meta-analysis. Journal of Vocational Behavior, 77(2), 168-185. https://doi.org/10.1016/j.jvb.2010.04.006</w:t>
      </w:r>
    </w:p>
    <w:p w:rsidR="00A43BB6" w:rsidRDefault="0044650C">
      <w:pPr>
        <w:spacing w:after="80"/>
      </w:pPr>
      <w:r>
        <w:lastRenderedPageBreak/>
        <w:t>[117] Rudin, C. (2019). Stop explaining black box machine learning models for high stakes decisions and use interpretable models instead. Nature Machine Intelligence, 1(5), 206-215. https://doi.org/10.1038/s42256-019-0048-x</w:t>
      </w:r>
    </w:p>
    <w:p w:rsidR="00A43BB6" w:rsidRDefault="0044650C">
      <w:pPr>
        <w:spacing w:after="80"/>
      </w:pPr>
      <w:r>
        <w:t>[118] Guest, G., Bunce, A., &amp; Johnson, L. (2006). How many interviews are enough? An experiment with data saturation and variability. Field Methods, 18(1), 59–82. https://doi.org/10.1177/1525822X05279903</w:t>
      </w:r>
    </w:p>
    <w:p w:rsidR="00A43BB6" w:rsidRDefault="0044650C">
      <w:pPr>
        <w:spacing w:after="80"/>
      </w:pPr>
      <w:r>
        <w:t>[119] Rohland, B. M., Kruse, G. R., &amp; Rohrer, J. E. (2004). Validation of a single-item measure of burnout against the Maslach Burnout Inventory among physicians. Stress and Health, 20(2), 75–79. https://doi.org/10.1002/smi.1003</w:t>
      </w:r>
    </w:p>
    <w:p w:rsidR="00A43BB6" w:rsidRDefault="0044650C">
      <w:pPr>
        <w:spacing w:after="80"/>
      </w:pPr>
      <w:r>
        <w:t>[120] Landis, J. R., &amp; Koch, G. G. (1977). The measurement of observer agreement for categorical data. Biometrics, 33(1), 159–174. https://doi.org/10.2307/2529310</w:t>
      </w:r>
    </w:p>
    <w:p w:rsidR="00A43BB6" w:rsidRDefault="0044650C">
      <w:pPr>
        <w:spacing w:after="80"/>
      </w:pPr>
      <w:r>
        <w:t>[121] Faul, F., Erdfelder, E., Lang, A. G., &amp; Buchner, A. (2007). G*Power 3: A flexible statistical power analysis program for the social, behavioral, and biomedical sciences. Behavior Research Methods, 39(2), 175–191. https://doi.org/10.3758/BF03193146</w:t>
      </w:r>
    </w:p>
    <w:p w:rsidR="00A43BB6" w:rsidRDefault="0044650C">
      <w:pPr>
        <w:spacing w:after="80"/>
      </w:pPr>
      <w:r>
        <w:t>[122] Cohen, J. (1988). Statistical power analysis for the behavioral sciences (2nd ed.). Lawrence Erlbaum Associates.</w:t>
      </w:r>
    </w:p>
    <w:p w:rsidR="00A43BB6" w:rsidRDefault="0044650C">
      <w:pPr>
        <w:spacing w:after="80"/>
      </w:pPr>
      <w:r>
        <w:t>[123] Nayan, M. I. H., Uddin, M. S. G., Hossain, M. I., Alam, M. M., Zinnia, M. A., Haq, I., ... Methun, M. I. H. (2022). Comparison of the performance of machine learning-based algorithms for predicting depression and anxiety among University Students in Bangladesh: A result of the first wave of the COVID-19 pandemic. Asian Journal of Social Health and Behavior, 5(2), 75–84. https://doi.org/10.4103/shb.shb_38_22</w:t>
      </w:r>
    </w:p>
    <w:sectPr w:rsidR="00A43BB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8F8632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2BDB"/>
    <w:rsid w:val="0044650C"/>
    <w:rsid w:val="008053E8"/>
    <w:rsid w:val="00A43BB6"/>
    <w:rsid w:val="00AA1D8D"/>
    <w:rsid w:val="00B47730"/>
    <w:rsid w:val="00BE2E04"/>
    <w:rsid w:val="00CB0664"/>
    <w:rsid w:val="00D57D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5CEAB"/>
  <w14:defaultImageDpi w14:val="300"/>
  <w15:docId w15:val="{54722571-8F3E-4226-8E78-A9A3CA028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78521">
      <w:bodyDiv w:val="1"/>
      <w:marLeft w:val="0"/>
      <w:marRight w:val="0"/>
      <w:marTop w:val="0"/>
      <w:marBottom w:val="0"/>
      <w:divBdr>
        <w:top w:val="none" w:sz="0" w:space="0" w:color="auto"/>
        <w:left w:val="none" w:sz="0" w:space="0" w:color="auto"/>
        <w:bottom w:val="none" w:sz="0" w:space="0" w:color="auto"/>
        <w:right w:val="none" w:sz="0" w:space="0" w:color="auto"/>
      </w:divBdr>
    </w:div>
    <w:div w:id="85659345">
      <w:bodyDiv w:val="1"/>
      <w:marLeft w:val="0"/>
      <w:marRight w:val="0"/>
      <w:marTop w:val="0"/>
      <w:marBottom w:val="0"/>
      <w:divBdr>
        <w:top w:val="none" w:sz="0" w:space="0" w:color="auto"/>
        <w:left w:val="none" w:sz="0" w:space="0" w:color="auto"/>
        <w:bottom w:val="none" w:sz="0" w:space="0" w:color="auto"/>
        <w:right w:val="none" w:sz="0" w:space="0" w:color="auto"/>
      </w:divBdr>
    </w:div>
    <w:div w:id="159540230">
      <w:bodyDiv w:val="1"/>
      <w:marLeft w:val="0"/>
      <w:marRight w:val="0"/>
      <w:marTop w:val="0"/>
      <w:marBottom w:val="0"/>
      <w:divBdr>
        <w:top w:val="none" w:sz="0" w:space="0" w:color="auto"/>
        <w:left w:val="none" w:sz="0" w:space="0" w:color="auto"/>
        <w:bottom w:val="none" w:sz="0" w:space="0" w:color="auto"/>
        <w:right w:val="none" w:sz="0" w:space="0" w:color="auto"/>
      </w:divBdr>
    </w:div>
    <w:div w:id="211428835">
      <w:bodyDiv w:val="1"/>
      <w:marLeft w:val="0"/>
      <w:marRight w:val="0"/>
      <w:marTop w:val="0"/>
      <w:marBottom w:val="0"/>
      <w:divBdr>
        <w:top w:val="none" w:sz="0" w:space="0" w:color="auto"/>
        <w:left w:val="none" w:sz="0" w:space="0" w:color="auto"/>
        <w:bottom w:val="none" w:sz="0" w:space="0" w:color="auto"/>
        <w:right w:val="none" w:sz="0" w:space="0" w:color="auto"/>
      </w:divBdr>
    </w:div>
    <w:div w:id="455375692">
      <w:bodyDiv w:val="1"/>
      <w:marLeft w:val="0"/>
      <w:marRight w:val="0"/>
      <w:marTop w:val="0"/>
      <w:marBottom w:val="0"/>
      <w:divBdr>
        <w:top w:val="none" w:sz="0" w:space="0" w:color="auto"/>
        <w:left w:val="none" w:sz="0" w:space="0" w:color="auto"/>
        <w:bottom w:val="none" w:sz="0" w:space="0" w:color="auto"/>
        <w:right w:val="none" w:sz="0" w:space="0" w:color="auto"/>
      </w:divBdr>
    </w:div>
    <w:div w:id="764687192">
      <w:bodyDiv w:val="1"/>
      <w:marLeft w:val="0"/>
      <w:marRight w:val="0"/>
      <w:marTop w:val="0"/>
      <w:marBottom w:val="0"/>
      <w:divBdr>
        <w:top w:val="none" w:sz="0" w:space="0" w:color="auto"/>
        <w:left w:val="none" w:sz="0" w:space="0" w:color="auto"/>
        <w:bottom w:val="none" w:sz="0" w:space="0" w:color="auto"/>
        <w:right w:val="none" w:sz="0" w:space="0" w:color="auto"/>
      </w:divBdr>
    </w:div>
    <w:div w:id="802187636">
      <w:bodyDiv w:val="1"/>
      <w:marLeft w:val="0"/>
      <w:marRight w:val="0"/>
      <w:marTop w:val="0"/>
      <w:marBottom w:val="0"/>
      <w:divBdr>
        <w:top w:val="none" w:sz="0" w:space="0" w:color="auto"/>
        <w:left w:val="none" w:sz="0" w:space="0" w:color="auto"/>
        <w:bottom w:val="none" w:sz="0" w:space="0" w:color="auto"/>
        <w:right w:val="none" w:sz="0" w:space="0" w:color="auto"/>
      </w:divBdr>
    </w:div>
    <w:div w:id="828861421">
      <w:bodyDiv w:val="1"/>
      <w:marLeft w:val="0"/>
      <w:marRight w:val="0"/>
      <w:marTop w:val="0"/>
      <w:marBottom w:val="0"/>
      <w:divBdr>
        <w:top w:val="none" w:sz="0" w:space="0" w:color="auto"/>
        <w:left w:val="none" w:sz="0" w:space="0" w:color="auto"/>
        <w:bottom w:val="none" w:sz="0" w:space="0" w:color="auto"/>
        <w:right w:val="none" w:sz="0" w:space="0" w:color="auto"/>
      </w:divBdr>
    </w:div>
    <w:div w:id="900597473">
      <w:bodyDiv w:val="1"/>
      <w:marLeft w:val="0"/>
      <w:marRight w:val="0"/>
      <w:marTop w:val="0"/>
      <w:marBottom w:val="0"/>
      <w:divBdr>
        <w:top w:val="none" w:sz="0" w:space="0" w:color="auto"/>
        <w:left w:val="none" w:sz="0" w:space="0" w:color="auto"/>
        <w:bottom w:val="none" w:sz="0" w:space="0" w:color="auto"/>
        <w:right w:val="none" w:sz="0" w:space="0" w:color="auto"/>
      </w:divBdr>
    </w:div>
    <w:div w:id="1090397287">
      <w:bodyDiv w:val="1"/>
      <w:marLeft w:val="0"/>
      <w:marRight w:val="0"/>
      <w:marTop w:val="0"/>
      <w:marBottom w:val="0"/>
      <w:divBdr>
        <w:top w:val="none" w:sz="0" w:space="0" w:color="auto"/>
        <w:left w:val="none" w:sz="0" w:space="0" w:color="auto"/>
        <w:bottom w:val="none" w:sz="0" w:space="0" w:color="auto"/>
        <w:right w:val="none" w:sz="0" w:space="0" w:color="auto"/>
      </w:divBdr>
    </w:div>
    <w:div w:id="1149319743">
      <w:bodyDiv w:val="1"/>
      <w:marLeft w:val="0"/>
      <w:marRight w:val="0"/>
      <w:marTop w:val="0"/>
      <w:marBottom w:val="0"/>
      <w:divBdr>
        <w:top w:val="none" w:sz="0" w:space="0" w:color="auto"/>
        <w:left w:val="none" w:sz="0" w:space="0" w:color="auto"/>
        <w:bottom w:val="none" w:sz="0" w:space="0" w:color="auto"/>
        <w:right w:val="none" w:sz="0" w:space="0" w:color="auto"/>
      </w:divBdr>
    </w:div>
    <w:div w:id="1282151876">
      <w:bodyDiv w:val="1"/>
      <w:marLeft w:val="0"/>
      <w:marRight w:val="0"/>
      <w:marTop w:val="0"/>
      <w:marBottom w:val="0"/>
      <w:divBdr>
        <w:top w:val="none" w:sz="0" w:space="0" w:color="auto"/>
        <w:left w:val="none" w:sz="0" w:space="0" w:color="auto"/>
        <w:bottom w:val="none" w:sz="0" w:space="0" w:color="auto"/>
        <w:right w:val="none" w:sz="0" w:space="0" w:color="auto"/>
      </w:divBdr>
    </w:div>
    <w:div w:id="1399598639">
      <w:bodyDiv w:val="1"/>
      <w:marLeft w:val="0"/>
      <w:marRight w:val="0"/>
      <w:marTop w:val="0"/>
      <w:marBottom w:val="0"/>
      <w:divBdr>
        <w:top w:val="none" w:sz="0" w:space="0" w:color="auto"/>
        <w:left w:val="none" w:sz="0" w:space="0" w:color="auto"/>
        <w:bottom w:val="none" w:sz="0" w:space="0" w:color="auto"/>
        <w:right w:val="none" w:sz="0" w:space="0" w:color="auto"/>
      </w:divBdr>
    </w:div>
    <w:div w:id="1560240619">
      <w:bodyDiv w:val="1"/>
      <w:marLeft w:val="0"/>
      <w:marRight w:val="0"/>
      <w:marTop w:val="0"/>
      <w:marBottom w:val="0"/>
      <w:divBdr>
        <w:top w:val="none" w:sz="0" w:space="0" w:color="auto"/>
        <w:left w:val="none" w:sz="0" w:space="0" w:color="auto"/>
        <w:bottom w:val="none" w:sz="0" w:space="0" w:color="auto"/>
        <w:right w:val="none" w:sz="0" w:space="0" w:color="auto"/>
      </w:divBdr>
    </w:div>
    <w:div w:id="1756004101">
      <w:bodyDiv w:val="1"/>
      <w:marLeft w:val="0"/>
      <w:marRight w:val="0"/>
      <w:marTop w:val="0"/>
      <w:marBottom w:val="0"/>
      <w:divBdr>
        <w:top w:val="none" w:sz="0" w:space="0" w:color="auto"/>
        <w:left w:val="none" w:sz="0" w:space="0" w:color="auto"/>
        <w:bottom w:val="none" w:sz="0" w:space="0" w:color="auto"/>
        <w:right w:val="none" w:sz="0" w:space="0" w:color="auto"/>
      </w:divBdr>
    </w:div>
    <w:div w:id="2092702097">
      <w:bodyDiv w:val="1"/>
      <w:marLeft w:val="0"/>
      <w:marRight w:val="0"/>
      <w:marTop w:val="0"/>
      <w:marBottom w:val="0"/>
      <w:divBdr>
        <w:top w:val="none" w:sz="0" w:space="0" w:color="auto"/>
        <w:left w:val="none" w:sz="0" w:space="0" w:color="auto"/>
        <w:bottom w:val="none" w:sz="0" w:space="0" w:color="auto"/>
        <w:right w:val="none" w:sz="0" w:space="0" w:color="auto"/>
      </w:divBdr>
    </w:div>
    <w:div w:id="21233779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05B196-0039-4AB0-AE53-F72023468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46</Pages>
  <Words>20921</Words>
  <Characters>119256</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Rifat</cp:lastModifiedBy>
  <cp:revision>2</cp:revision>
  <dcterms:created xsi:type="dcterms:W3CDTF">2013-12-23T23:15:00Z</dcterms:created>
  <dcterms:modified xsi:type="dcterms:W3CDTF">2026-08-22T07:43:00Z</dcterms:modified>
  <cp:category/>
</cp:coreProperties>
</file>