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0" w:after="120"/>
      </w:pPr>
      <w:r>
        <w:rPr>
          <w:color w:val="0F172A"/>
        </w:rPr>
        <w:t>Supplementary Material S2</w:t>
      </w:r>
    </w:p>
    <w:p>
      <w:pPr>
        <w:pStyle w:val="Heading2"/>
        <w:spacing w:before="240" w:after="80"/>
      </w:pPr>
      <w:r>
        <w:rPr>
          <w:color w:val="1E3A8A"/>
        </w:rPr>
        <w:t>COREQ (Consolidated Criteria for Reporting Qualitative Research) Checklist</w:t>
      </w:r>
    </w:p>
    <w:p>
      <w:pPr>
        <w:pStyle w:val="Heading3"/>
        <w:spacing w:before="200" w:after="60"/>
      </w:pPr>
      <w:r>
        <w:rPr>
          <w:color w:val="047857"/>
        </w:rPr>
        <w:t>32-Item Checklist — Tong et al. (2007)</w:t>
      </w:r>
    </w:p>
    <w:p>
      <w:pPr>
        <w:spacing w:after="100" w:line="276" w:lineRule="auto"/>
      </w:pPr>
      <w:r>
        <w:rPr>
          <w:b/>
        </w:rPr>
        <w:t>Paper Title:</w:t>
      </w:r>
      <w:r>
        <w:t xml:space="preserve"> Explainable Machine Learning for Student Burnout Classification and Risk Stratification: A Mixed-Methods Study with Qualitative Triangulation</w:t>
      </w:r>
    </w:p>
    <w:p>
      <w:pPr>
        <w:spacing w:after="100" w:line="276" w:lineRule="auto"/>
      </w:pPr>
      <w:r>
        <w:rPr>
          <w:b/>
        </w:rPr>
        <w:t>Authors:</w:t>
      </w:r>
      <w:r>
        <w:t xml:space="preserve"> Rifat Miah (rifatmiah1992003@gmail.com), Dr. A.S.M. Shihavuddin (shihav@eee.green.edu.bd)</w:t>
      </w:r>
    </w:p>
    <w:p>
      <w:pPr>
        <w:spacing w:after="100" w:line="276" w:lineRule="auto"/>
      </w:pPr>
      <w:r>
        <w:rPr>
          <w:b/>
        </w:rPr>
        <w:t>Corresponding Author:</w:t>
      </w:r>
      <w:r>
        <w:t xml:space="preserve"> Rifat Miah (Email: rifatmiah1992003@gmail.com), Department of Computer Science and Engineering, Presidency University, Dhaka 1212, Bangladesh (Institutional Contact: info@pu.edu.bd)</w:t>
      </w:r>
    </w:p>
    <w:p>
      <w:pPr>
        <w:pBdr>
          <w:bottom w:val="single" w:sz="6" w:space="1" w:color="C0C0C0"/>
        </w:pBdr>
        <w:spacing w:after="80"/>
      </w:pPr>
    </w:p>
    <w:p>
      <w:pPr>
        <w:pStyle w:val="Heading2"/>
        <w:spacing w:before="240" w:after="80"/>
      </w:pPr>
      <w:r>
        <w:rPr>
          <w:color w:val="1E3A8A"/>
        </w:rPr>
        <w:t>Domain 1: Research Team and Reflexivity</w:t>
      </w:r>
    </w:p>
    <w:p>
      <w:pPr>
        <w:pStyle w:val="Heading3"/>
        <w:spacing w:before="200" w:after="60"/>
      </w:pPr>
      <w:r>
        <w:rPr>
          <w:color w:val="047857"/>
        </w:rPr>
        <w:t>Personal Characteristics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  <w:shd w:val="clear" w:color="auto" w:fill="1E3A8A"/>
          </w:tcPr>
          <w:p>
            <w:pPr>
              <w:jc w:val="left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No.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  <w:shd w:val="clear" w:color="auto" w:fill="1E3A8A"/>
          </w:tcPr>
          <w:p>
            <w:pPr>
              <w:jc w:val="left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  <w:shd w:val="clear" w:color="auto" w:fill="1E3A8A"/>
          </w:tcPr>
          <w:p>
            <w:pPr>
              <w:jc w:val="left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Guide Questions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  <w:shd w:val="clear" w:color="auto" w:fill="1E3A8A"/>
          </w:tcPr>
          <w:p>
            <w:pPr>
              <w:jc w:val="left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Response</w:t>
            </w:r>
          </w:p>
        </w:tc>
      </w:tr>
      <w:tr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Interviewer / Facilitator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Which author(s) conducted the interview?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The primary author (Rifat Miah) conducted all 20 semi-structured interviews.</w:t>
            </w:r>
          </w:p>
        </w:tc>
      </w:tr>
      <w:tr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Credentials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What were the researcher's credentials?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BSc in Computer Science and Engineering (enrolled at Presidency University at time of data collection and manuscript submission).</w:t>
            </w:r>
          </w:p>
        </w:tc>
      </w:tr>
      <w:tr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Occupation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What was their occupation at the time of the study?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Undergraduate researcher and ML practitioner.</w:t>
            </w:r>
          </w:p>
        </w:tc>
      </w:tr>
      <w:tr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Gender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Was the researcher male or female?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Male</w:t>
            </w:r>
          </w:p>
        </w:tc>
      </w:tr>
      <w:tr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Experience and training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What experience or training did the researcher have?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Completed coursework in research methodology; reviewed Braun &amp; Clarke (2006, 2021) thematic analysis protocols prior to fieldwork. Interview guide reviewed and piloted before use.</w:t>
            </w:r>
          </w:p>
        </w:tc>
      </w:tr>
    </w:tbl>
    <w:p>
      <w:pPr>
        <w:spacing w:after="120"/>
      </w:pPr>
    </w:p>
    <w:p>
      <w:pPr>
        <w:pStyle w:val="Heading3"/>
        <w:spacing w:before="200" w:after="60"/>
      </w:pPr>
      <w:r>
        <w:rPr>
          <w:color w:val="047857"/>
        </w:rPr>
        <w:t>Relationship with Participants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  <w:shd w:val="clear" w:color="auto" w:fill="1E3A8A"/>
          </w:tcPr>
          <w:p>
            <w:pPr>
              <w:jc w:val="left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No.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  <w:shd w:val="clear" w:color="auto" w:fill="1E3A8A"/>
          </w:tcPr>
          <w:p>
            <w:pPr>
              <w:jc w:val="left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  <w:shd w:val="clear" w:color="auto" w:fill="1E3A8A"/>
          </w:tcPr>
          <w:p>
            <w:pPr>
              <w:jc w:val="left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Guide Questions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  <w:shd w:val="clear" w:color="auto" w:fill="1E3A8A"/>
          </w:tcPr>
          <w:p>
            <w:pPr>
              <w:jc w:val="left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Response</w:t>
            </w:r>
          </w:p>
        </w:tc>
      </w:tr>
      <w:tr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Relationship established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Was a relationship established prior to study commencement?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Yes. The primary researcher was a peer student at participating institutions; some participants were known via institutional networks. Acknowledged as reflexivity consideration in Section 8.2.</w:t>
            </w:r>
          </w:p>
        </w:tc>
      </w:tr>
      <w:tr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Participant knowledge of the interviewer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What did participants know about the researcher?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All participants were informed via the written informed consent form of: (i) the academic purpose, (ii) the researcher's identity and affiliation, (iii) the voluntary nature of participation, and (iv) intended use for academic publication.</w:t>
            </w:r>
          </w:p>
        </w:tc>
      </w:tr>
      <w:tr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Interviewer characteristics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What characteristics were reported about the interviewer?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 xml:space="preserve">Bengali-speaking male student from a Bangladeshi private university. Reflexivity mitigation: qualitative open-coding completed </w:t>
            </w:r>
            <w:r>
              <w:rPr>
                <w:i/>
                <w:sz w:val="18"/>
              </w:rPr>
              <w:t>before</w:t>
            </w:r>
            <w:r>
              <w:rPr>
                <w:sz w:val="18"/>
              </w:rPr>
              <w:t xml:space="preserve"> reviewing SHAP feature rankings; independent second coder employed (κ = 0.82, Section 3.8).</w:t>
            </w:r>
          </w:p>
        </w:tc>
      </w:tr>
    </w:tbl>
    <w:p>
      <w:pPr>
        <w:spacing w:after="120"/>
      </w:pPr>
    </w:p>
    <w:p>
      <w:pPr>
        <w:pBdr>
          <w:bottom w:val="single" w:sz="6" w:space="1" w:color="C0C0C0"/>
        </w:pBdr>
        <w:spacing w:after="80"/>
      </w:pPr>
    </w:p>
    <w:p>
      <w:pPr>
        <w:pStyle w:val="Heading2"/>
        <w:spacing w:before="240" w:after="80"/>
      </w:pPr>
      <w:r>
        <w:rPr>
          <w:color w:val="1E3A8A"/>
        </w:rPr>
        <w:t>Domain 2: Study Design</w:t>
      </w:r>
    </w:p>
    <w:p>
      <w:pPr>
        <w:pStyle w:val="Heading3"/>
        <w:spacing w:before="200" w:after="60"/>
      </w:pPr>
      <w:r>
        <w:rPr>
          <w:color w:val="047857"/>
        </w:rPr>
        <w:t>Theoretical Framework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  <w:shd w:val="clear" w:color="auto" w:fill="1E3A8A"/>
          </w:tcPr>
          <w:p>
            <w:pPr>
              <w:jc w:val="left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No.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  <w:shd w:val="clear" w:color="auto" w:fill="1E3A8A"/>
          </w:tcPr>
          <w:p>
            <w:pPr>
              <w:jc w:val="left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  <w:shd w:val="clear" w:color="auto" w:fill="1E3A8A"/>
          </w:tcPr>
          <w:p>
            <w:pPr>
              <w:jc w:val="left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Guide Questions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  <w:shd w:val="clear" w:color="auto" w:fill="1E3A8A"/>
          </w:tcPr>
          <w:p>
            <w:pPr>
              <w:jc w:val="left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Response</w:t>
            </w:r>
          </w:p>
        </w:tc>
      </w:tr>
      <w:tr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Methodological orientation and theory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What methodological orientation was stated to underpin the study?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Reflexive Thematic Analysis (Braun &amp; Clarke, 2006, 2021) within an Explanatory Sequential Mixed-Methods Design (QUAN → QUAL; Creswell &amp; Plano Clark, 2018). Theoretical frameworks: COR Theory, JD-R Model, Self-Determination Theory.</w:t>
            </w:r>
          </w:p>
        </w:tc>
      </w:tr>
    </w:tbl>
    <w:p>
      <w:pPr>
        <w:spacing w:after="120"/>
      </w:pPr>
    </w:p>
    <w:p>
      <w:pPr>
        <w:pStyle w:val="Heading3"/>
        <w:spacing w:before="200" w:after="60"/>
      </w:pPr>
      <w:r>
        <w:rPr>
          <w:color w:val="047857"/>
        </w:rPr>
        <w:t>Participant Selection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  <w:shd w:val="clear" w:color="auto" w:fill="1E3A8A"/>
          </w:tcPr>
          <w:p>
            <w:pPr>
              <w:jc w:val="left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No.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  <w:shd w:val="clear" w:color="auto" w:fill="1E3A8A"/>
          </w:tcPr>
          <w:p>
            <w:pPr>
              <w:jc w:val="left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  <w:shd w:val="clear" w:color="auto" w:fill="1E3A8A"/>
          </w:tcPr>
          <w:p>
            <w:pPr>
              <w:jc w:val="left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Guide Questions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  <w:shd w:val="clear" w:color="auto" w:fill="1E3A8A"/>
          </w:tcPr>
          <w:p>
            <w:pPr>
              <w:jc w:val="left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Response</w:t>
            </w:r>
          </w:p>
        </w:tc>
      </w:tr>
      <w:tr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Sampling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How were participants selected?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Nested purposive maximum variation sampling. N = 20 selected from N = 601 cohort across three burnout severity strata (Low: n = 2, Medium: n = 8, High: n = 10), institutional type, academic year, and degree level.</w:t>
            </w:r>
          </w:p>
        </w:tc>
      </w:tr>
      <w:tr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Method of approach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How were participants approached?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Via direct message, WhatsApp, or email. Approached participants who had previously indicated willingness for follow-up contact in the quantitative survey. All 20 consented participants were successfully interviewed.</w:t>
            </w:r>
          </w:p>
        </w:tc>
      </w:tr>
      <w:tr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Sample size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How many participants were in the study?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N = 20 qualitative interview participants.</w:t>
            </w:r>
          </w:p>
        </w:tc>
      </w:tr>
      <w:tr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Non-participation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How many people refused to participate or dropped out?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Three initially willing participants declined to schedule (citing time/academic pressure); replaced by next eligible stratum members. No mid-interview withdrawals.</w:t>
            </w:r>
          </w:p>
        </w:tc>
      </w:tr>
    </w:tbl>
    <w:p>
      <w:pPr>
        <w:spacing w:after="120"/>
      </w:pPr>
    </w:p>
    <w:p>
      <w:pPr>
        <w:pStyle w:val="Heading3"/>
        <w:spacing w:before="200" w:after="60"/>
      </w:pPr>
      <w:r>
        <w:rPr>
          <w:color w:val="047857"/>
        </w:rPr>
        <w:t>Setting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  <w:shd w:val="clear" w:color="auto" w:fill="1E3A8A"/>
          </w:tcPr>
          <w:p>
            <w:pPr>
              <w:jc w:val="left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No.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  <w:shd w:val="clear" w:color="auto" w:fill="1E3A8A"/>
          </w:tcPr>
          <w:p>
            <w:pPr>
              <w:jc w:val="left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  <w:shd w:val="clear" w:color="auto" w:fill="1E3A8A"/>
          </w:tcPr>
          <w:p>
            <w:pPr>
              <w:jc w:val="left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Guide Questions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  <w:shd w:val="clear" w:color="auto" w:fill="1E3A8A"/>
          </w:tcPr>
          <w:p>
            <w:pPr>
              <w:jc w:val="left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Response</w:t>
            </w:r>
          </w:p>
        </w:tc>
      </w:tr>
      <w:tr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Setting of data collection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Where was the data collected?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In-person: quiet campus spaces (library study rooms, cafeteria areas). Remote: WhatsApp audio calls or Google Meet, as preferred by participant.</w:t>
            </w:r>
          </w:p>
        </w:tc>
      </w:tr>
      <w:tr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Presence of non-participants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Was anyone else present besides the participants and researchers?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No. All interviews were one-on-one and confidential.</w:t>
            </w:r>
          </w:p>
        </w:tc>
      </w:tr>
      <w:tr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Description of sample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What are the important characteristics of the sample?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 xml:space="preserve">See Table 8 (Section 8) for full demographic characteristics. Participants spanned all academic years (1st–Final), multiple degree programs (Bachelor's, Master's), and three burnout tiers (Low n=2, Medium n=8, High n=10). Semi-structured qualitative interviews were conducted during </w:t>
            </w:r>
            <w:r>
              <w:rPr>
                <w:b/>
                <w:sz w:val="18"/>
              </w:rPr>
              <w:t>June–July 2026</w:t>
            </w:r>
            <w:r>
              <w:rPr>
                <w:sz w:val="18"/>
              </w:rPr>
              <w:t>, following completion of the quantitative survey data collection phase (completed June 2026).</w:t>
            </w:r>
          </w:p>
        </w:tc>
      </w:tr>
    </w:tbl>
    <w:p>
      <w:pPr>
        <w:spacing w:after="120"/>
      </w:pPr>
    </w:p>
    <w:p>
      <w:pPr>
        <w:pStyle w:val="Heading3"/>
        <w:spacing w:before="200" w:after="60"/>
      </w:pPr>
      <w:r>
        <w:rPr>
          <w:color w:val="047857"/>
        </w:rPr>
        <w:t>Data Collection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  <w:shd w:val="clear" w:color="auto" w:fill="1E3A8A"/>
          </w:tcPr>
          <w:p>
            <w:pPr>
              <w:jc w:val="left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No.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  <w:shd w:val="clear" w:color="auto" w:fill="1E3A8A"/>
          </w:tcPr>
          <w:p>
            <w:pPr>
              <w:jc w:val="left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  <w:shd w:val="clear" w:color="auto" w:fill="1E3A8A"/>
          </w:tcPr>
          <w:p>
            <w:pPr>
              <w:jc w:val="left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Guide Questions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  <w:shd w:val="clear" w:color="auto" w:fill="1E3A8A"/>
          </w:tcPr>
          <w:p>
            <w:pPr>
              <w:jc w:val="left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Response</w:t>
            </w:r>
          </w:p>
        </w:tc>
      </w:tr>
      <w:tr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Interview guide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Were questions, prompts, guides provided by the authors? Was it pilot tested?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Yes. Structured 10-item interview guide used covering: daily study routine, sleep duration, social media, part-time employment, academic stress, mental health, physical activity, subjective burnout, attendance, sleep quality. Reviewed by co-author; pilot tested with 2 volunteer students not in main sample.</w:t>
            </w:r>
          </w:p>
        </w:tc>
      </w:tr>
      <w:tr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18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Repeat interviews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Were repeat interviews carried out?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No. Each participant was interviewed once.</w:t>
            </w:r>
          </w:p>
        </w:tc>
      </w:tr>
      <w:tr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Audio/visual recording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Did the research use audio or visual recording?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Yes. All interviews were audio-recorded with participant consent, transcribed verbatim in Bangla, and translated into English with back-translation verification.</w:t>
            </w:r>
          </w:p>
        </w:tc>
      </w:tr>
      <w:tr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Field notes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Were field notes made during and/or after the interview?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Yes. The primary interviewer maintained reflective notes after each session documenting contextual observations, emerging patterns, and reflexive considerations.</w:t>
            </w:r>
          </w:p>
        </w:tc>
      </w:tr>
      <w:tr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21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Duration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What was the duration of the interviews?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Approximately 20–30 minutes per interview (range: 18–35 minutes).</w:t>
            </w:r>
          </w:p>
        </w:tc>
      </w:tr>
      <w:tr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Data saturation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Was data saturation discussed?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Yes. Thematic saturation assessed iteratively; no new major themes emerged after the 15th interview. Final 5 interviews confirmed redundancy across all four themes. Consistent with Guest et al. (2006) benchmarks for homogenous populations.</w:t>
            </w:r>
          </w:p>
        </w:tc>
      </w:tr>
      <w:tr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23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Transcripts returned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Were transcripts returned to participants for comment and/or correction?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Participants were offered transcript review; none requested corrections or changes.</w:t>
            </w:r>
          </w:p>
        </w:tc>
      </w:tr>
    </w:tbl>
    <w:p>
      <w:pPr>
        <w:spacing w:after="120"/>
      </w:pPr>
    </w:p>
    <w:p>
      <w:pPr>
        <w:pBdr>
          <w:bottom w:val="single" w:sz="6" w:space="1" w:color="C0C0C0"/>
        </w:pBdr>
        <w:spacing w:after="80"/>
      </w:pPr>
    </w:p>
    <w:p>
      <w:pPr>
        <w:pStyle w:val="Heading2"/>
        <w:spacing w:before="240" w:after="80"/>
      </w:pPr>
      <w:r>
        <w:rPr>
          <w:color w:val="1E3A8A"/>
        </w:rPr>
        <w:t>Domain 3: Analysis and Findings</w:t>
      </w:r>
    </w:p>
    <w:p>
      <w:pPr>
        <w:pStyle w:val="Heading3"/>
        <w:spacing w:before="200" w:after="60"/>
      </w:pPr>
      <w:r>
        <w:rPr>
          <w:color w:val="047857"/>
        </w:rPr>
        <w:t>Data Analysis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  <w:shd w:val="clear" w:color="auto" w:fill="1E3A8A"/>
          </w:tcPr>
          <w:p>
            <w:pPr>
              <w:jc w:val="left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No.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  <w:shd w:val="clear" w:color="auto" w:fill="1E3A8A"/>
          </w:tcPr>
          <w:p>
            <w:pPr>
              <w:jc w:val="left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  <w:shd w:val="clear" w:color="auto" w:fill="1E3A8A"/>
          </w:tcPr>
          <w:p>
            <w:pPr>
              <w:jc w:val="left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Guide Questions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  <w:shd w:val="clear" w:color="auto" w:fill="1E3A8A"/>
          </w:tcPr>
          <w:p>
            <w:pPr>
              <w:jc w:val="left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Response</w:t>
            </w:r>
          </w:p>
        </w:tc>
      </w:tr>
      <w:tr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24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Number of data coders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How many data coders coded the data?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Two coders: (1) primary author coded all 20 transcripts; (2) independent bilingual second coder coded 25% random sub-sample (n = 5 transcripts).</w:t>
            </w:r>
          </w:p>
        </w:tc>
      </w:tr>
      <w:tr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25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Description of the coding tree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Did authors provide a description of the coding tree?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Yes. Four overarching themes with sub-themes identified and reported in Sections 8.3–8.6: (1) Academic Dread and Career Despair; (2) Institutional Identity and Low-Pressure Burnout; (3) Digital Fatigue as Maladaptive Coping; (4) Circadian Collapse and Sleep Deprivation.</w:t>
            </w:r>
          </w:p>
        </w:tc>
      </w:tr>
      <w:tr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26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Derivation of themes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Were themes identified in advance or derived from the data?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 xml:space="preserve">Themes derived inductively from the data (bottom-up open coding), completed </w:t>
            </w:r>
            <w:r>
              <w:rPr>
                <w:i/>
                <w:sz w:val="18"/>
              </w:rPr>
              <w:t>before</w:t>
            </w:r>
            <w:r>
              <w:rPr>
                <w:sz w:val="18"/>
              </w:rPr>
              <w:t xml:space="preserve"> reviewing quantitative SHAP feature rankings. Subsequently mapped onto JD-R and COR frameworks in the triangulation matrix (Table 9, Section 9).</w:t>
            </w:r>
          </w:p>
        </w:tc>
      </w:tr>
      <w:tr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27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Software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What software was used to manage the data?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Manual coding using structured codebook in Microsoft Word/Excel. No qualitative data management software used; corpus size (N = 20 transcripts × 10 questions) was manageable without software.</w:t>
            </w:r>
          </w:p>
        </w:tc>
      </w:tr>
      <w:tr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28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Participant checking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Did participants provide feedback on the findings?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Not formally completed. The independent inter-rater reliability verification (κ = 0.82, Section 3.8) serves as a methodological proxy for analytical trustworthiness.</w:t>
            </w:r>
          </w:p>
        </w:tc>
      </w:tr>
    </w:tbl>
    <w:p>
      <w:pPr>
        <w:spacing w:after="120"/>
      </w:pPr>
    </w:p>
    <w:p>
      <w:pPr>
        <w:pStyle w:val="Heading3"/>
        <w:spacing w:before="200" w:after="60"/>
      </w:pPr>
      <w:r>
        <w:rPr>
          <w:color w:val="047857"/>
        </w:rPr>
        <w:t>Reporting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  <w:shd w:val="clear" w:color="auto" w:fill="1E3A8A"/>
          </w:tcPr>
          <w:p>
            <w:pPr>
              <w:jc w:val="left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No.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  <w:shd w:val="clear" w:color="auto" w:fill="1E3A8A"/>
          </w:tcPr>
          <w:p>
            <w:pPr>
              <w:jc w:val="left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  <w:shd w:val="clear" w:color="auto" w:fill="1E3A8A"/>
          </w:tcPr>
          <w:p>
            <w:pPr>
              <w:jc w:val="left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Guide Questions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  <w:shd w:val="clear" w:color="auto" w:fill="1E3A8A"/>
          </w:tcPr>
          <w:p>
            <w:pPr>
              <w:jc w:val="left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Response</w:t>
            </w:r>
          </w:p>
        </w:tc>
      </w:tr>
      <w:tr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29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Quotations presented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Were participant quotations presented to illustrate the themes/findings?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Yes. Representative verbatim quotations provided in Sections 8.3–8.6 for all four themes. Each quotation accompanied by participant identifier (P1–P20), degree program, academic year, institutional type, and burnout tier.</w:t>
            </w:r>
          </w:p>
        </w:tc>
      </w:tr>
      <w:tr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30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Data and findings consistent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Was there consistency between the data presented and the findings?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Yes. Themes are consistently grounded in verbatim quotations. Triangulation matrix (Table 9, Section 9) explicitly maps SHAP signals to qualitative themes, confirming cross-strand consistency.</w:t>
            </w:r>
          </w:p>
        </w:tc>
      </w:tr>
      <w:tr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31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Clarity of major themes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Were major themes clearly presented in the findings?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Yes. Four major themes presented with dedicated subsections (Sections 8.3–8.6), each with thematic title, descriptive narrative, representative quotations with participant identifiers, and methodological caveats where applicable.</w:t>
            </w:r>
          </w:p>
        </w:tc>
      </w:tr>
      <w:tr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32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Clarity of minor themes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Is there a description of diverse cases or discussion of minor themes?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Yes. Theme 2 (Institutional Identity Burnout) noted as emerging from n = 2 National University participants and framed as exploratory/hypothesis-generating (Section 8.4). Protective patterns (e.g., P5 as resilient low-burnout case) contrasted with high-burnout cases in Sections 8.6.</w:t>
            </w:r>
          </w:p>
        </w:tc>
      </w:tr>
    </w:tbl>
    <w:p>
      <w:pPr>
        <w:spacing w:after="120"/>
      </w:pPr>
    </w:p>
    <w:p>
      <w:pPr>
        <w:pBdr>
          <w:bottom w:val="single" w:sz="6" w:space="1" w:color="C0C0C0"/>
        </w:pBdr>
        <w:spacing w:after="80"/>
      </w:pPr>
    </w:p>
    <w:p>
      <w:pPr>
        <w:pStyle w:val="Heading2"/>
        <w:spacing w:before="240" w:after="80"/>
      </w:pPr>
      <w:r>
        <w:rPr>
          <w:color w:val="1E3A8A"/>
        </w:rPr>
        <w:t>COREQ Compliance Summary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94A3B8" w:sz="4"/>
              <w:left w:val="none"/>
              <w:bottom w:val="single" w:color="94A3B8" w:sz="4"/>
              <w:right w:val="none"/>
            </w:tcBorders>
            <w:shd w:val="clear" w:color="auto" w:fill="1E3A8A"/>
          </w:tcPr>
          <w:p>
            <w:pPr>
              <w:jc w:val="left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Domain</w:t>
            </w:r>
          </w:p>
        </w:tc>
        <w:tc>
          <w:tcPr>
            <w:tcW w:type="dxa" w:w="3024"/>
            <w:tcBorders>
              <w:top w:val="single" w:color="94A3B8" w:sz="4"/>
              <w:left w:val="none"/>
              <w:bottom w:val="single" w:color="94A3B8" w:sz="4"/>
              <w:right w:val="none"/>
            </w:tcBorders>
            <w:shd w:val="clear" w:color="auto" w:fill="1E3A8A"/>
          </w:tcPr>
          <w:p>
            <w:pPr>
              <w:jc w:val="left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Items Reported</w:t>
            </w:r>
          </w:p>
        </w:tc>
        <w:tc>
          <w:tcPr>
            <w:tcW w:type="dxa" w:w="3024"/>
            <w:tcBorders>
              <w:top w:val="single" w:color="94A3B8" w:sz="4"/>
              <w:left w:val="none"/>
              <w:bottom w:val="single" w:color="94A3B8" w:sz="4"/>
              <w:right w:val="none"/>
            </w:tcBorders>
            <w:shd w:val="clear" w:color="auto" w:fill="1E3A8A"/>
          </w:tcPr>
          <w:p>
            <w:pPr>
              <w:jc w:val="left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Compliance</w:t>
            </w:r>
          </w:p>
        </w:tc>
      </w:tr>
      <w:tr>
        <w:tc>
          <w:tcPr>
            <w:tcW w:type="dxa" w:w="302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Domain 1: Research Team and Reflexivity</w:t>
            </w:r>
          </w:p>
        </w:tc>
        <w:tc>
          <w:tcPr>
            <w:tcW w:type="dxa" w:w="302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8/8</w:t>
            </w:r>
          </w:p>
        </w:tc>
        <w:tc>
          <w:tcPr>
            <w:tcW w:type="dxa" w:w="302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✅ Full</w:t>
            </w:r>
          </w:p>
        </w:tc>
      </w:tr>
      <w:tr>
        <w:tc>
          <w:tcPr>
            <w:tcW w:type="dxa" w:w="302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Domain 2: Study Design</w:t>
            </w:r>
          </w:p>
        </w:tc>
        <w:tc>
          <w:tcPr>
            <w:tcW w:type="dxa" w:w="302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14/14</w:t>
            </w:r>
          </w:p>
        </w:tc>
        <w:tc>
          <w:tcPr>
            <w:tcW w:type="dxa" w:w="302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✅ Full</w:t>
            </w:r>
          </w:p>
        </w:tc>
      </w:tr>
      <w:tr>
        <w:tc>
          <w:tcPr>
            <w:tcW w:type="dxa" w:w="302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Domain 3: Analysis and Findings</w:t>
            </w:r>
          </w:p>
        </w:tc>
        <w:tc>
          <w:tcPr>
            <w:tcW w:type="dxa" w:w="302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9/10</w:t>
            </w:r>
          </w:p>
        </w:tc>
        <w:tc>
          <w:tcPr>
            <w:tcW w:type="dxa" w:w="302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✅ Full (Item 28 partially met via IRR as proxy)</w:t>
            </w:r>
          </w:p>
        </w:tc>
      </w:tr>
      <w:tr>
        <w:tc>
          <w:tcPr>
            <w:tcW w:type="dxa" w:w="302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b/>
                <w:sz w:val="18"/>
              </w:rPr>
              <w:t>Total</w:t>
            </w:r>
          </w:p>
        </w:tc>
        <w:tc>
          <w:tcPr>
            <w:tcW w:type="dxa" w:w="302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b/>
                <w:sz w:val="18"/>
              </w:rPr>
              <w:t>31/32</w:t>
            </w:r>
          </w:p>
        </w:tc>
        <w:tc>
          <w:tcPr>
            <w:tcW w:type="dxa" w:w="302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b/>
                <w:sz w:val="18"/>
              </w:rPr>
              <w:t>97% Compliance</w:t>
            </w:r>
          </w:p>
        </w:tc>
      </w:tr>
    </w:tbl>
    <w:p>
      <w:pPr>
        <w:spacing w:after="120"/>
      </w:pPr>
    </w:p>
    <w:p>
      <w:pPr>
        <w:pBdr>
          <w:bottom w:val="single" w:sz="6" w:space="1" w:color="C0C0C0"/>
        </w:pBdr>
        <w:spacing w:after="80"/>
      </w:pPr>
    </w:p>
    <w:p>
      <w:pPr>
        <w:spacing w:after="100" w:line="276" w:lineRule="auto"/>
      </w:pPr>
      <w:r>
        <w:rPr>
          <w:i/>
        </w:rPr>
        <w:t>Adapted from: Tong, A., Sainsbury, P., &amp; Craig, J. (2007). Consolidated criteria for reporting qualitative research (COREQ): A 32-item checklist for interviews and focus groups. International Journal for Quality in Health Care, 19(6), 349–357. https://doi.org/10.1093/intqhc/mzm042</w:t>
      </w:r>
    </w:p>
    <w:sectPr w:rsidR="00FC693F" w:rsidRPr="0006063C" w:rsidSect="00034616"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