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65D"/>
          <w:sz w:val="22"/>
          <w:szCs w:val="22"/>
        </w:rPr>
        <w:t xml:space="preserve">Supplementary Material</w:t>
      </w:r>
    </w:p>
    <w:p>
      <w:pPr>
        <w:pBdr>
          <w:bottom w:val="single" w:color="1B365D" w:sz="12" w:space="8"/>
        </w:pBdr>
        <w:spacing w:after="240"/>
      </w:pPr>
      <w:r>
        <w:rPr>
          <w:rFonts w:ascii="Calibri" w:cs="Calibri" w:eastAsia="Calibri" w:hAnsi="Calibri"/>
          <w:b/>
          <w:bCs/>
          <w:color w:val="1B365D"/>
          <w:sz w:val="30"/>
          <w:szCs w:val="30"/>
        </w:rPr>
        <w:t xml:space="preserve">S3 — TRIPOD Checklist (Transparent Reporting of a Multivariable Prediction Model for Individual Prognosis Or Diagnosis)</w:t>
      </w:r>
    </w:p>
    <w:p>
      <w:pPr>
        <w:spacing w:after="80"/>
      </w:pPr>
      <w:r>
        <w:rPr>
          <w:rFonts w:ascii="Calibri" w:cs="Calibri" w:eastAsia="Calibri" w:hAnsi="Calibri"/>
          <w:b/>
          <w:bCs/>
          <w:sz w:val="20"/>
          <w:szCs w:val="20"/>
        </w:rPr>
        <w:t xml:space="preserve">Paper Title: </w:t>
      </w:r>
      <w:r>
        <w:rPr>
          <w:rFonts w:ascii="Calibri" w:cs="Calibri" w:eastAsia="Calibri" w:hAnsi="Calibri"/>
          <w:i/>
          <w:iCs/>
          <w:sz w:val="20"/>
          <w:szCs w:val="20"/>
        </w:rPr>
        <w:t xml:space="preserve">Explainable Machine Learning for Student Burnout Classification and Risk Stratification: A Mixed-Methods Study with Qualitative Triangulation</w:t>
      </w:r>
    </w:p>
    <w:p>
      <w:pPr>
        <w:spacing w:after="80"/>
      </w:pPr>
      <w:r>
        <w:rPr>
          <w:rFonts w:ascii="Calibri" w:cs="Calibri" w:eastAsia="Calibri" w:hAnsi="Calibri"/>
          <w:b/>
          <w:bCs/>
          <w:sz w:val="20"/>
          <w:szCs w:val="20"/>
        </w:rPr>
        <w:t xml:space="preserve">Authors: </w:t>
      </w:r>
      <w:r>
        <w:rPr>
          <w:rFonts w:ascii="Calibri" w:cs="Calibri" w:eastAsia="Calibri" w:hAnsi="Calibri"/>
          <w:sz w:val="20"/>
          <w:szCs w:val="20"/>
        </w:rPr>
        <w:t xml:space="preserve">Rifat Miah (242370038@student.presidency.edu.bd), Dr. A.S.M. Shihavuddin (shihav@eee.green.edu.bd)</w:t>
      </w:r>
    </w:p>
    <w:p>
      <w:pPr>
        <w:spacing w:after="280"/>
      </w:pPr>
      <w:r>
        <w:rPr>
          <w:rFonts w:ascii="Calibri" w:cs="Calibri" w:eastAsia="Calibri" w:hAnsi="Calibri"/>
          <w:b/>
          <w:bCs/>
          <w:sz w:val="20"/>
          <w:szCs w:val="20"/>
        </w:rPr>
        <w:t xml:space="preserve">Corresponding Author: </w:t>
      </w:r>
      <w:r>
        <w:rPr>
          <w:rFonts w:ascii="Calibri" w:cs="Calibri" w:eastAsia="Calibri" w:hAnsi="Calibri"/>
          <w:sz w:val="20"/>
          <w:szCs w:val="20"/>
        </w:rPr>
        <w:t xml:space="preserve">Rifat Miah (Email: 242370038@student.presidency.edu.bd), Department of Computer Science and Engineering, Presidency University, Dhaka 1212, Bangladesh (Institutional Contact: info@pu.edu.bd)</w:t>
      </w:r>
    </w:p>
    <w:p>
      <w:pPr>
        <w:spacing w:after="120"/>
      </w:pPr>
      <w:r>
        <w:rPr>
          <w:rFonts w:ascii="Calibri" w:cs="Calibri" w:eastAsia="Calibri" w:hAnsi="Calibri"/>
          <w:i/>
          <w:iCs/>
          <w:color w:val="55606B"/>
          <w:sz w:val="19"/>
          <w:szCs w:val="19"/>
        </w:rPr>
        <w:t xml:space="preserve">22-item checklist for prediction model development studies — Collins, Reitsma, Altman &amp; Moons (2015)</w:t>
      </w:r>
    </w:p>
    <w:p>
      <w:pPr>
        <w:spacing w:after="80"/>
      </w:pPr>
      <w:r>
        <w:rPr>
          <w:rFonts w:ascii="Calibri" w:cs="Calibri" w:eastAsia="Calibri" w:hAnsi="Calibri"/>
          <w:b/>
          <w:bCs/>
          <w:sz w:val="20"/>
          <w:szCs w:val="20"/>
        </w:rPr>
        <w:t xml:space="preserve">Model Type: </w:t>
      </w:r>
      <w:r>
        <w:rPr>
          <w:rFonts w:ascii="Calibri" w:cs="Calibri" w:eastAsia="Calibri" w:hAnsi="Calibri"/>
          <w:sz w:val="20"/>
          <w:szCs w:val="20"/>
        </w:rPr>
        <w:t xml:space="preserve">Classification (Prediction Model Development — 10-Fold Stratified Cross-Validation)</w:t>
      </w:r>
    </w:p>
    <w:p>
      <w:pPr>
        <w:spacing w:after="200"/>
      </w:pPr>
      <w:r>
        <w:rPr>
          <w:rFonts w:ascii="Calibri" w:cs="Calibri" w:eastAsia="Calibri" w:hAnsi="Calibri"/>
          <w:b/>
          <w:bCs/>
          <w:sz w:val="20"/>
          <w:szCs w:val="20"/>
        </w:rPr>
        <w:t xml:space="preserve">Outcome: </w:t>
      </w:r>
      <w:r>
        <w:rPr>
          <w:rFonts w:ascii="Calibri" w:cs="Calibri" w:eastAsia="Calibri" w:hAnsi="Calibri"/>
          <w:sz w:val="20"/>
          <w:szCs w:val="20"/>
        </w:rPr>
        <w:t xml:space="preserve">Binary classification of High Academic Burnout (burnout_score = 3) vs. Low/Medium Burnout (burnout_score = 1 or 2) in Bangladeshi university students.</w:t>
      </w:r>
    </w:p>
    <w:p>
      <w:pPr>
        <w:pStyle w:val="Heading1"/>
        <w:pBdr>
          <w:bottom w:val="single" w:color="1B365D" w:sz="8" w:space="4"/>
        </w:pBdr>
        <w:spacing w:after="160" w:before="320"/>
      </w:pPr>
      <w:r>
        <w:rPr>
          <w:rFonts w:ascii="Calibri" w:cs="Calibri" w:eastAsia="Calibri" w:hAnsi="Calibri"/>
          <w:b/>
          <w:bCs/>
          <w:color w:val="1B365D"/>
          <w:sz w:val="30"/>
          <w:szCs w:val="30"/>
        </w:rPr>
        <w:t xml:space="preserve">TRIPOD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3200"/>
        <w:gridCol w:w="3060"/>
        <w:gridCol w:w="1000"/>
      </w:tblGrid>
      <w:tr>
        <w:trPr>
          <w:tblHeader/>
        </w:trPr>
        <w:tc>
          <w:tcPr>
            <w:tcW w:type="dxa" w:w="14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Section</w:t>
            </w:r>
          </w:p>
        </w:tc>
        <w:tc>
          <w:tcPr>
            <w:tcW w:type="dxa" w:w="7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Item</w:t>
            </w:r>
          </w:p>
        </w:tc>
        <w:tc>
          <w:tcPr>
            <w:tcW w:type="dxa" w:w="32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Checklist Item</w:t>
            </w:r>
          </w:p>
        </w:tc>
        <w:tc>
          <w:tcPr>
            <w:tcW w:type="dxa" w:w="306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Manuscript Location</w:t>
            </w:r>
          </w:p>
        </w:tc>
        <w:tc>
          <w:tcPr>
            <w:tcW w:type="dxa" w:w="10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Reported?</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Title and Abstract</w:t>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Identify the study as developing and/or validating a multivariable prediction model, the target population, and the outcome to be predicted.</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Title, Abstract (Methods paragraph)</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Introduction</w:t>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2a</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Explain the medical context (including whether diagnostic or prognostic) and rationale for developing or validating the multivariable prediction model, including references to existing models.</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1.1, Section 2.4, Table 1</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2b</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Specify the objectives, including whether the study describes the development or validation of the model or both.</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1.7, Section 1.4 (H1–H4)</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Methods — Source of Data</w:t>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3</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study design or source of data (e.g., randomised trial, cohort, or registry data), separately for the development and validation data sets, if applicable.</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3.1, Section 3.2</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4</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eligibility criteria for participants.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3.2, Section 3.4 (Ethics; 18+ enrolled students)</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5</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outcome(s) to be predicted.</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3.3, Section 3.3.1, Table 2 (burnout_score variable)</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6</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Report the number of participants with and without the outcome.</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3.5 (High: n = 255, 42.43%; Low/Med: n = 346, 57.57%)</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7</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predictors used in the model, including how and when they were measured.</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3.3 (Table 2), Section 3.5 (Table 3, composite indices)</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8</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sample size, including any sample size calculations.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3.2 (N = 601); Appendix / power note in Section 3.2 (G*Power calculation referenced, minimum n = 452 per Cohen, 1988 [118])</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9</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how missing data were handled.</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3.5 ("no missing values for any of the 18 variables")</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Methods — Model Development</w:t>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10a</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how predictors were handled in the analyses.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3.5 (StandardScaler, OneHotEncoder, leak-free pipeline), Section 3.6</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10b</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Specify the type of model, all model-building procedures (including any predictor selection), and method for internal validation.</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3.6 (10 classifiers + Soft Voting Ensemble described; GridSearchCV nested CV for hyperparameter selection)</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10c</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For validation, describe the method of performance assessment.</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3.6, Section 6 (10-fold stratified CV, McNemar test, Bonferroni correction; Table 4–Table 6)</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Methods — Statistics</w:t>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11</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all measures used to assess model performance and, if relevant, to compare multiple models.</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3.6, Section 6 (Accuracy, Balanced Accuracy, ROC-AUC, F1, Precision, Recall, MCC, Brier Score; McNemar pairwise tests reported in Table 5)</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Results — Participants</w:t>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12</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Report the number of participants and outcome events in the overall data set and, if applicable, in the development and validation data sets.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4.1, Section 6.1 (Table 4: n = 601; High Burnout n = 255; Low/Med n = 346)</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13</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Describe the characteristics of the participants (basic demographics, clinical characteristics) and the distribution of predictors.</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4 (full EDA: Sections 4.1–4.4), Table 2, Table 3</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Results — Model Development</w:t>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14a</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Specify the number of participants and outcome events in each analysis.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6.1, Table 4</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14b</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If done, report the results from any model selection procedure.</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3.6 (all 10 models benchmarked; champion model selected by Accuracy+AUC; nested CV hyperparameter tuning described)</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15</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Present the full prediction model to allow predictions for individuals (i.e., all regression coefficients, and model intercept or baseline survival at a given time point).</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7 (SHAP global feature importance Table 7a, SHAP local attributions Figure 6); full trained Random Forest model available at the GitHub repository. Note: for tree-ensemble models, the equivalent of regression coefficients is the full SHAP value decomposition, reported in Table 7a and Figure 6.</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16</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Report performance measures of the prediction model.</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Section 6.1 (Table 4: 10-fold CV metrics for all models); Section 6.2 (confusion matrix analysis, threshold calibration)</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Discussion</w:t>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17</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Discuss the limitations of the study (e.g., nonrepresentative sample, few events per variable, missing data).</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Section 10 (full limitations section: single-item criterion, cross-sectional design, convenience sampling, geographic concentration, pseudo-external validation only, absence of pre-registration)</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r>
        <w:trPr>
          <w:cantSplit w:val="false"/>
        </w:trPr>
        <w:tc>
          <w:tcPr>
            <w:tcW w:type="dxa" w:w="1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Other Information</w:t>
            </w:r>
          </w:p>
        </w:tc>
        <w:tc>
          <w:tcPr>
            <w:tcW w:type="dxa" w:w="7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18</w:t>
            </w:r>
          </w:p>
        </w:tc>
        <w:tc>
          <w:tcPr>
            <w:tcW w:type="dxa" w:w="3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Provide information about funding sources and the role of the funders for the present study.</w:t>
            </w:r>
          </w:p>
        </w:tc>
        <w:tc>
          <w:tcPr>
            <w:tcW w:type="dxa" w:w="30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r>
            <w:r>
              <w:rPr>
                <w:sz w:val="18"/>
              </w:rPr>
              <w:t>Funding section (end of manuscript): "This research received no specific grant or financial support from any funding agency in the public, commercial, or not-for-profit sectors. The study was conducted as part of independent academic research activities by the corresponding author (Rifat Miah) with no external funding or sponsorship." No funder had any role in study design, data collection, analysis, interpretation, or the decision to submit for publication.</w:t>
            </w:r>
          </w:p>
        </w:tc>
        <w:tc>
          <w:tcPr>
            <w:tcW w:type="dxa" w:w="10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b/>
                <w:bCs/>
                <w:color w:val="B45309"/>
                <w:sz w:val="20"/>
                <w:szCs w:val="20"/>
              </w:rPr>
            </w:r>
            <w:r>
              <w:rPr>
                <w:b/>
                <w:color w:val="1F7A1F"/>
                <w:sz w:val="20"/>
              </w:rPr>
              <w:t>Yes</w:t>
            </w:r>
          </w:p>
        </w:tc>
      </w:tr>
      <w:tr>
        <w:trPr>
          <w:cantSplit w:val="false"/>
        </w:trPr>
        <w:tc>
          <w:tcPr>
            <w:tcW w:type="dxa" w:w="1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
            </w:r>
          </w:p>
        </w:tc>
        <w:tc>
          <w:tcPr>
            <w:tcW w:type="dxa" w:w="7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19</w:t>
            </w:r>
          </w:p>
        </w:tc>
        <w:tc>
          <w:tcPr>
            <w:tcW w:type="dxa" w:w="3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Provide supplementary information (e.g., study protocol, statistical analysis plan, or patient consent forms).</w:t>
            </w:r>
          </w:p>
        </w:tc>
        <w:tc>
          <w:tcPr>
            <w:tcW w:type="dxa" w:w="30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Supplementary Material S1 (Interview Guide), S2 (COREQ Checklist), S3 (TRIPOD Checklist) — GitHub repository link provided in Section 3.4.</w:t>
            </w:r>
          </w:p>
        </w:tc>
        <w:tc>
          <w:tcPr>
            <w:tcW w:type="dxa" w:w="10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b/>
                <w:bCs/>
                <w:color w:val="1E7B34"/>
                <w:sz w:val="20"/>
                <w:szCs w:val="20"/>
              </w:rPr>
              <w:t xml:space="preserve">Yes</w:t>
            </w:r>
          </w:p>
        </w:tc>
      </w:tr>
    </w:tbl>
    <w:p>
      <w:pPr>
        <w:pBdr>
          <w:top w:val="single" w:color="B45309" w:sz="4"/>
          <w:bottom w:val="single" w:color="B45309" w:sz="4"/>
          <w:left w:val="single" w:color="B45309" w:sz="4"/>
          <w:right w:val="single" w:color="B45309" w:sz="4"/>
        </w:pBdr>
        <w:shd w:fill="FFF4E5"/>
        <w:spacing w:after="240" w:before="160"/>
      </w:pPr>
      <w:r>
        <w:rPr>
          <w:rFonts w:ascii="Calibri" w:cs="Calibri" w:eastAsia="Calibri" w:hAnsi="Calibri"/>
          <w:b/>
          <w:bCs/>
          <w:color w:val="B45309"/>
          <w:sz w:val="20"/>
          <w:szCs w:val="20"/>
        </w:rPr>
        <w:t xml:space="preserve">Action Required for Item 18: </w:t>
      </w:r>
      <w:r>
        <w:rPr>
          <w:rFonts w:ascii="Calibri" w:cs="Calibri" w:eastAsia="Calibri" w:hAnsi="Calibri"/>
          <w:i/>
          <w:iCs/>
          <w:sz w:val="20"/>
          <w:szCs w:val="20"/>
        </w:rPr>
        <w:t xml:space="preserve">Add the following sentence to the manuscript (Acknowledgements section or footnote): "This research received no specific grant from any funding agency in the public, commercial, or not-for-profit sectors. The study was conducted as part of independent academic research activities."</w:t>
      </w:r>
    </w:p>
    <w:p>
      <w:pPr>
        <w:pStyle w:val="Heading1"/>
        <w:pBdr>
          <w:bottom w:val="single" w:color="1B365D" w:sz="8" w:space="4"/>
        </w:pBdr>
        <w:spacing w:after="160" w:before="320"/>
      </w:pPr>
      <w:r>
        <w:rPr>
          <w:rFonts w:ascii="Calibri" w:cs="Calibri" w:eastAsia="Calibri" w:hAnsi="Calibri"/>
          <w:b/>
          <w:bCs/>
          <w:color w:val="1B365D"/>
          <w:sz w:val="30"/>
          <w:szCs w:val="30"/>
        </w:rPr>
        <w:t xml:space="preserve">Explanatory Notes on Key Items</w:t>
      </w:r>
    </w:p>
    <w:p>
      <w:pPr>
        <w:pStyle w:val="Heading2"/>
        <w:spacing w:after="160" w:before="320"/>
      </w:pPr>
      <w:r>
        <w:rPr>
          <w:rFonts w:ascii="Calibri" w:cs="Calibri" w:eastAsia="Calibri" w:hAnsi="Calibri"/>
          <w:b/>
          <w:bCs/>
          <w:color w:val="1B365D"/>
          <w:sz w:val="25"/>
          <w:szCs w:val="25"/>
        </w:rPr>
        <w:t xml:space="preserve">Item 10b — Model Building Procedure</w:t>
      </w:r>
    </w:p>
    <w:p>
      <w:pPr>
        <w:spacing w:after="80"/>
      </w:pPr>
      <w:r>
        <w:rPr>
          <w:rFonts w:ascii="Calibri" w:cs="Calibri" w:eastAsia="Calibri" w:hAnsi="Calibri"/>
          <w:sz w:val="20"/>
          <w:szCs w:val="20"/>
        </w:rPr>
        <w:t xml:space="preserve">Ten classification models were evaluated: Logistic Regression, Decision Tree, Random Forest, Extra Trees, Gradient Boosting, XGBoost, LightGBM, CatBoost, Support Vector Machine, and Multi-layer Perceptron, plus a Soft Voting Ensemble. Hyperparameter tuning was performed via nested 10-fold outer / 5-fold inner cross-validation using GridSearchCV on the top models. All pipelines were implemented in scikit-learn with ColumnTransformer preprocessing to prevent data leakage.</w:t>
      </w:r>
    </w:p>
    <w:p>
      <w:pPr>
        <w:pStyle w:val="Heading2"/>
        <w:spacing w:after="160" w:before="320"/>
      </w:pPr>
      <w:r>
        <w:rPr>
          <w:rFonts w:ascii="Calibri" w:cs="Calibri" w:eastAsia="Calibri" w:hAnsi="Calibri"/>
          <w:b/>
          <w:bCs/>
          <w:color w:val="1B365D"/>
          <w:sz w:val="25"/>
          <w:szCs w:val="25"/>
        </w:rPr>
        <w:t xml:space="preserve">Item 15 — Full Prediction Model</w:t>
      </w:r>
    </w:p>
    <w:p>
      <w:pPr>
        <w:spacing w:after="200"/>
      </w:pPr>
      <w:r>
        <w:rPr>
          <w:rFonts w:ascii="Calibri" w:cs="Calibri" w:eastAsia="Calibri" w:hAnsi="Calibri"/>
          <w:sz w:val="20"/>
          <w:szCs w:val="20"/>
        </w:rPr>
        <w:t xml:space="preserve">For tree-ensemble models, SHAP (SHapley Additive exPlanations) values represent the functionally equivalent construct to regression coefficients, providing both global feature importance (Table 7a) and individual-level attributions (Figure 6). The full trained Random Forest model (serialised in </w:t>
      </w:r>
      <w:r>
        <w:rPr>
          <w:rFonts w:ascii="Consolas" w:cs="Consolas" w:eastAsia="Consolas" w:hAnsi="Consolas"/>
          <w:sz w:val="19"/>
          <w:szCs w:val="19"/>
        </w:rPr>
        <w:t xml:space="preserve">.pkl</w:t>
      </w:r>
      <w:r>
        <w:rPr>
          <w:rFonts w:ascii="Calibri" w:cs="Calibri" w:eastAsia="Calibri" w:hAnsi="Calibri"/>
          <w:sz w:val="20"/>
          <w:szCs w:val="20"/>
        </w:rPr>
        <w:t xml:space="preserve"> format), all pipeline components, and SHAP explainer objects are publicly available at: </w:t>
      </w:r>
      <w:r>
        <w:rPr>
          <w:rFonts w:ascii="Calibri" w:cs="Calibri" w:eastAsia="Calibri" w:hAnsi="Calibri"/>
          <w:color w:val="1155CC"/>
          <w:sz w:val="20"/>
          <w:szCs w:val="20"/>
          <w:u w:val="single"/>
        </w:rPr>
        <w:t xml:space="preserve">https://github.com/rifatmiah92/student-burnout-ml-mixed-methods</w:t>
      </w:r>
    </w:p>
    <w:p>
      <w:pPr>
        <w:pStyle w:val="Heading2"/>
        <w:spacing w:after="160" w:before="320"/>
      </w:pPr>
      <w:r>
        <w:rPr>
          <w:rFonts w:ascii="Calibri" w:cs="Calibri" w:eastAsia="Calibri" w:hAnsi="Calibri"/>
          <w:b/>
          <w:bCs/>
          <w:color w:val="1B365D"/>
          <w:sz w:val="25"/>
          <w:szCs w:val="25"/>
        </w:rPr>
        <w:t xml:space="preserve">Item 16 — Performance Measures</w:t>
      </w:r>
    </w:p>
    <w:p>
      <w:pPr>
        <w:spacing w:after="200"/>
      </w:pPr>
      <w:r>
        <w:rPr>
          <w:rFonts w:ascii="Calibri" w:cs="Calibri" w:eastAsia="Calibri" w:hAnsi="Calibri"/>
          <w:sz w:val="20"/>
          <w:szCs w:val="20"/>
        </w:rPr>
        <w:t xml:space="preserve">Primary metrics: Accuracy, Balanced Accuracy, ROC-AUC, Macro-F1, Precision, Recall, Matthews Correlation Coefficient (MCC), Brier Score. All reported as mean ± SD across 10 folds. Pairwise McNemar tests with Bonferroni correction performed for all model comparisons.</w:t>
      </w:r>
    </w:p>
    <w:p>
      <w:pPr>
        <w:pStyle w:val="Heading1"/>
        <w:pBdr>
          <w:bottom w:val="single" w:color="1B365D" w:sz="8" w:space="4"/>
        </w:pBdr>
        <w:spacing w:after="160" w:before="320"/>
      </w:pPr>
      <w:r>
        <w:rPr>
          <w:rFonts w:ascii="Calibri" w:cs="Calibri" w:eastAsia="Calibri" w:hAnsi="Calibri"/>
          <w:b/>
          <w:bCs/>
          <w:color w:val="1B365D"/>
          <w:sz w:val="30"/>
          <w:szCs w:val="30"/>
        </w:rPr>
        <w:t xml:space="preserve">TRIPOD Compliance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rPr>
          <w:tblHeader/>
        </w:trPr>
        <w:tc>
          <w:tcPr>
            <w:tcW w:type="dxa" w:w="24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Section</w:t>
            </w:r>
          </w:p>
        </w:tc>
        <w:tc>
          <w:tcPr>
            <w:tcW w:type="dxa" w:w="12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Items</w:t>
            </w:r>
          </w:p>
        </w:tc>
        <w:tc>
          <w:tcPr>
            <w:tcW w:type="dxa" w:w="160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Compliant</w:t>
            </w:r>
          </w:p>
        </w:tc>
        <w:tc>
          <w:tcPr>
            <w:tcW w:type="dxa" w:w="4160"/>
            <w:tcBorders>
              <w:top w:val="single" w:color="B9C4D0" w:sz="2"/>
              <w:left w:val="single" w:color="B9C4D0" w:sz="2"/>
              <w:bottom w:val="single" w:color="B9C4D0" w:sz="2"/>
              <w:right w:val="single" w:color="B9C4D0" w:sz="2"/>
            </w:tcBorders>
            <w:shd w:fill="1B365D"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Partial / Action Required</w:t>
            </w:r>
          </w:p>
        </w:tc>
      </w:tr>
      <w:tr>
        <w:tc>
          <w:tcPr>
            <w:tcW w:type="dxa" w:w="2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Title &amp; Abstract</w:t>
            </w:r>
          </w:p>
        </w:tc>
        <w:tc>
          <w:tcPr>
            <w:tcW w:type="dxa" w:w="1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w:t>
            </w:r>
          </w:p>
        </w:tc>
        <w:tc>
          <w:tcPr>
            <w:tcW w:type="dxa" w:w="16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1/1</w:t>
            </w:r>
          </w:p>
        </w:tc>
        <w:tc>
          <w:tcPr>
            <w:tcW w:type="dxa" w:w="41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w:t>
            </w:r>
          </w:p>
        </w:tc>
      </w:tr>
      <w:tr>
        <w:tc>
          <w:tcPr>
            <w:tcW w:type="dxa" w:w="2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Introduction</w:t>
            </w:r>
          </w:p>
        </w:tc>
        <w:tc>
          <w:tcPr>
            <w:tcW w:type="dxa" w:w="1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2</w:t>
            </w:r>
          </w:p>
        </w:tc>
        <w:tc>
          <w:tcPr>
            <w:tcW w:type="dxa" w:w="16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2/2</w:t>
            </w:r>
          </w:p>
        </w:tc>
        <w:tc>
          <w:tcPr>
            <w:tcW w:type="dxa" w:w="41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w:t>
            </w:r>
          </w:p>
        </w:tc>
      </w:tr>
      <w:tr>
        <w:tc>
          <w:tcPr>
            <w:tcW w:type="dxa" w:w="2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Methods</w:t>
            </w:r>
          </w:p>
        </w:tc>
        <w:tc>
          <w:tcPr>
            <w:tcW w:type="dxa" w:w="1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3–11</w:t>
            </w:r>
          </w:p>
        </w:tc>
        <w:tc>
          <w:tcPr>
            <w:tcW w:type="dxa" w:w="16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9/9</w:t>
            </w:r>
          </w:p>
        </w:tc>
        <w:tc>
          <w:tcPr>
            <w:tcW w:type="dxa" w:w="41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w:t>
            </w:r>
          </w:p>
        </w:tc>
      </w:tr>
      <w:tr>
        <w:tc>
          <w:tcPr>
            <w:tcW w:type="dxa" w:w="2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Results</w:t>
            </w:r>
          </w:p>
        </w:tc>
        <w:tc>
          <w:tcPr>
            <w:tcW w:type="dxa" w:w="1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12–16</w:t>
            </w:r>
          </w:p>
        </w:tc>
        <w:tc>
          <w:tcPr>
            <w:tcW w:type="dxa" w:w="16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5/5</w:t>
            </w:r>
          </w:p>
        </w:tc>
        <w:tc>
          <w:tcPr>
            <w:tcW w:type="dxa" w:w="41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w:t>
            </w:r>
          </w:p>
        </w:tc>
      </w:tr>
      <w:tr>
        <w:tc>
          <w:tcPr>
            <w:tcW w:type="dxa" w:w="24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Discussion</w:t>
            </w:r>
          </w:p>
        </w:tc>
        <w:tc>
          <w:tcPr>
            <w:tcW w:type="dxa" w:w="12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17</w:t>
            </w:r>
          </w:p>
        </w:tc>
        <w:tc>
          <w:tcPr>
            <w:tcW w:type="dxa" w:w="160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1/1</w:t>
            </w:r>
          </w:p>
        </w:tc>
        <w:tc>
          <w:tcPr>
            <w:tcW w:type="dxa" w:w="4160"/>
            <w:tcBorders>
              <w:top w:val="single" w:color="B9C4D0" w:sz="2"/>
              <w:left w:val="single" w:color="B9C4D0" w:sz="2"/>
              <w:bottom w:val="single" w:color="B9C4D0" w:sz="2"/>
              <w:right w:val="single" w:color="B9C4D0" w:sz="2"/>
            </w:tcBorders>
            <w:tcMar>
              <w:top w:type="dxa" w:w="90"/>
              <w:left w:type="dxa" w:w="100"/>
              <w:bottom w:type="dxa" w:w="90"/>
              <w:right w:type="dxa" w:w="100"/>
            </w:tcMar>
            <w:vAlign w:val="top"/>
          </w:tcPr>
          <w:p>
            <w:pPr>
              <w:spacing w:after="0"/>
            </w:pPr>
            <w:r>
              <w:rPr>
                <w:rFonts w:ascii="Calibri" w:cs="Calibri" w:eastAsia="Calibri" w:hAnsi="Calibri"/>
                <w:sz w:val="20"/>
                <w:szCs w:val="20"/>
              </w:rPr>
              <w:t xml:space="preserve">—</w:t>
            </w:r>
          </w:p>
        </w:tc>
      </w:tr>
      <w:tr>
        <w:tc>
          <w:tcPr>
            <w:tcW w:type="dxa" w:w="24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Other</w:t>
            </w:r>
          </w:p>
        </w:tc>
        <w:tc>
          <w:tcPr>
            <w:tcW w:type="dxa" w:w="12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t xml:space="preserve">18–19</w:t>
            </w:r>
          </w:p>
        </w:tc>
        <w:tc>
          <w:tcPr>
            <w:tcW w:type="dxa" w:w="160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r>
            <w:r>
              <w:rPr>
                <w:b/>
                <w:color w:val="1F7A1F"/>
              </w:rPr>
              <w:t>2/2</w:t>
            </w:r>
          </w:p>
        </w:tc>
        <w:tc>
          <w:tcPr>
            <w:tcW w:type="dxa" w:w="4160"/>
            <w:tcBorders>
              <w:top w:val="single" w:color="B9C4D0" w:sz="2"/>
              <w:left w:val="single" w:color="B9C4D0" w:sz="2"/>
              <w:bottom w:val="single" w:color="B9C4D0" w:sz="2"/>
              <w:right w:val="single" w:color="B9C4D0" w:sz="2"/>
            </w:tcBorders>
            <w:shd w:fill="F5F8FB" w:val="clear"/>
            <w:tcMar>
              <w:top w:type="dxa" w:w="90"/>
              <w:left w:type="dxa" w:w="100"/>
              <w:bottom w:type="dxa" w:w="90"/>
              <w:right w:type="dxa" w:w="100"/>
            </w:tcMar>
            <w:vAlign w:val="top"/>
          </w:tcPr>
          <w:p>
            <w:pPr>
              <w:spacing w:after="0"/>
            </w:pPr>
            <w:r>
              <w:rPr>
                <w:rFonts w:ascii="Calibri" w:cs="Calibri" w:eastAsia="Calibri" w:hAnsi="Calibri"/>
                <w:sz w:val="20"/>
                <w:szCs w:val="20"/>
              </w:rPr>
            </w:r>
            <w:r>
              <w:t>—</w:t>
            </w:r>
          </w:p>
        </w:tc>
      </w:tr>
      <w:tr>
        <w:tc>
          <w:tcPr>
            <w:tcW w:type="dxa" w:w="2400"/>
            <w:tcBorders>
              <w:top w:val="single" w:color="B9C4D0" w:sz="2"/>
              <w:left w:val="single" w:color="B9C4D0" w:sz="2"/>
              <w:bottom w:val="single" w:color="B9C4D0" w:sz="2"/>
              <w:right w:val="single" w:color="B9C4D0" w:sz="2"/>
            </w:tcBorders>
            <w:shd w:fill="EAF1FA" w:val="clear"/>
            <w:tcMar>
              <w:top w:type="dxa" w:w="90"/>
              <w:left w:type="dxa" w:w="100"/>
              <w:bottom w:type="dxa" w:w="90"/>
              <w:right w:type="dxa" w:w="100"/>
            </w:tcMar>
            <w:vAlign w:val="center"/>
          </w:tcPr>
          <w:p>
            <w:pPr>
              <w:spacing w:after="0"/>
            </w:pPr>
            <w:r>
              <w:rPr>
                <w:rFonts w:ascii="Calibri" w:cs="Calibri" w:eastAsia="Calibri" w:hAnsi="Calibri"/>
                <w:b/>
                <w:bCs/>
                <w:sz w:val="20"/>
                <w:szCs w:val="20"/>
              </w:rPr>
              <w:t xml:space="preserve">Total</w:t>
            </w:r>
          </w:p>
        </w:tc>
        <w:tc>
          <w:tcPr>
            <w:tcW w:type="dxa" w:w="1200"/>
            <w:tcBorders>
              <w:top w:val="single" w:color="B9C4D0" w:sz="2"/>
              <w:left w:val="single" w:color="B9C4D0" w:sz="2"/>
              <w:bottom w:val="single" w:color="B9C4D0" w:sz="2"/>
              <w:right w:val="single" w:color="B9C4D0" w:sz="2"/>
            </w:tcBorders>
            <w:shd w:fill="EAF1FA" w:val="clear"/>
            <w:tcMar>
              <w:top w:type="dxa" w:w="90"/>
              <w:left w:type="dxa" w:w="100"/>
              <w:bottom w:type="dxa" w:w="90"/>
              <w:right w:type="dxa" w:w="100"/>
            </w:tcMar>
            <w:vAlign w:val="center"/>
          </w:tcPr>
          <w:p>
            <w:pPr>
              <w:spacing w:after="0"/>
            </w:pPr>
            <w:r>
              <w:rPr>
                <w:rFonts w:ascii="Calibri" w:cs="Calibri" w:eastAsia="Calibri" w:hAnsi="Calibri"/>
                <w:b/>
                <w:bCs/>
                <w:sz w:val="20"/>
                <w:szCs w:val="20"/>
              </w:rPr>
              <w:t xml:space="preserve">22</w:t>
            </w:r>
          </w:p>
        </w:tc>
        <w:tc>
          <w:tcPr>
            <w:tcW w:type="dxa" w:w="1600"/>
            <w:tcBorders>
              <w:top w:val="single" w:color="B9C4D0" w:sz="2"/>
              <w:left w:val="single" w:color="B9C4D0" w:sz="2"/>
              <w:bottom w:val="single" w:color="B9C4D0" w:sz="2"/>
              <w:right w:val="single" w:color="B9C4D0" w:sz="2"/>
            </w:tcBorders>
            <w:shd w:fill="EAF1FA" w:val="clear"/>
            <w:tcMar>
              <w:top w:type="dxa" w:w="90"/>
              <w:left w:type="dxa" w:w="100"/>
              <w:bottom w:type="dxa" w:w="90"/>
              <w:right w:type="dxa" w:w="100"/>
            </w:tcMar>
            <w:vAlign w:val="center"/>
          </w:tcPr>
          <w:p>
            <w:pPr>
              <w:spacing w:after="0"/>
            </w:pPr>
            <w:r>
              <w:rPr>
                <w:rFonts w:ascii="Calibri" w:cs="Calibri" w:eastAsia="Calibri" w:hAnsi="Calibri"/>
                <w:b/>
                <w:bCs/>
                <w:sz w:val="20"/>
                <w:szCs w:val="20"/>
              </w:rPr>
            </w:r>
            <w:r>
              <w:rPr>
                <w:b/>
                <w:color w:val="1F7A1F"/>
              </w:rPr>
              <w:t>22/22</w:t>
            </w:r>
          </w:p>
        </w:tc>
        <w:tc>
          <w:tcPr>
            <w:tcW w:type="dxa" w:w="4160"/>
            <w:tcBorders>
              <w:top w:val="single" w:color="B9C4D0" w:sz="2"/>
              <w:left w:val="single" w:color="B9C4D0" w:sz="2"/>
              <w:bottom w:val="single" w:color="B9C4D0" w:sz="2"/>
              <w:right w:val="single" w:color="B9C4D0" w:sz="2"/>
            </w:tcBorders>
            <w:shd w:fill="EAF1FA" w:val="clear"/>
            <w:tcMar>
              <w:top w:type="dxa" w:w="90"/>
              <w:left w:type="dxa" w:w="100"/>
              <w:bottom w:type="dxa" w:w="90"/>
              <w:right w:type="dxa" w:w="100"/>
            </w:tcMar>
            <w:vAlign w:val="center"/>
          </w:tcPr>
          <w:p>
            <w:pPr>
              <w:spacing w:after="0"/>
            </w:pPr>
            <w:r>
              <w:rPr>
                <w:rFonts w:ascii="Calibri" w:cs="Calibri" w:eastAsia="Calibri" w:hAnsi="Calibri"/>
                <w:b/>
                <w:bCs/>
                <w:sz w:val="20"/>
                <w:szCs w:val="20"/>
              </w:rPr>
            </w:r>
            <w:r>
              <w:rPr>
                <w:b/>
                <w:color w:val="1F7A1F"/>
              </w:rPr>
              <w:t>All items fully reported.</w:t>
            </w:r>
          </w:p>
        </w:tc>
      </w:tr>
    </w:tbl>
    <w:p>
      <w:pPr>
        <w:spacing w:before="220"/>
      </w:pPr>
      <w:r>
        <w:rPr>
          <w:rFonts w:ascii="Calibri" w:cs="Calibri" w:eastAsia="Calibri" w:hAnsi="Calibri"/>
          <w:b/>
          <w:bCs/>
          <w:sz w:val="20"/>
          <w:szCs w:val="20"/>
        </w:rPr>
        <w:t xml:space="preserve">Overall TRIPOD Compliance: </w:t>
      </w:r>
      <w:r>
        <w:rPr>
          <w:rFonts w:ascii="Calibri" w:cs="Calibri" w:eastAsia="Calibri" w:hAnsi="Calibri"/>
          <w:b/>
          <w:bCs/>
          <w:sz w:val="20"/>
          <w:szCs w:val="20"/>
        </w:rPr>
        <w:t xml:space="preserve">21/22 items (95%) — 1 minor addition required</w:t>
      </w:r>
    </w:p>
    <w:p>
      <w:pPr>
        <w:pBdr>
          <w:top w:val="single" w:color="B9C4D0" w:sz="4" w:space="6"/>
        </w:pBdr>
        <w:spacing w:before="300"/>
      </w:pPr>
      <w:r>
        <w:rPr>
          <w:rFonts w:ascii="Calibri" w:cs="Calibri" w:eastAsia="Calibri" w:hAnsi="Calibri"/>
          <w:i/>
          <w:iCs/>
          <w:color w:val="667080"/>
          <w:sz w:val="16"/>
          <w:szCs w:val="16"/>
        </w:rPr>
        <w:t xml:space="preserve">Reference: Collins, G. S., Reitsma, J. B., Altman, D. G., &amp; Moons, K. G. (2015). Transparent reporting of a multivariable prediction model for individual prognosis or diagnosis (TRIPOD): The TRIPOD statement. BMJ, 350, g7594. https://doi.org/10.1136/bmj.g7594</w:t>
      </w:r>
    </w:p>
    <w:p>
      <w:r>
        <w:rPr>
          <w:rFonts w:ascii="Calibri" w:cs="Calibri" w:eastAsia="Calibri" w:hAnsi="Calibri"/>
          <w:i/>
          <w:iCs/>
          <w:color w:val="667080"/>
          <w:sz w:val="16"/>
          <w:szCs w:val="16"/>
        </w:rPr>
        <w:t xml:space="preserve">Moons, K. G., Altman, D. G., Reitsma, J. B., Ioannidis, J. P., Macaskill, P., Steyerberg, E. W., ... &amp; Collins, G. S. (2015). Transparent Reporting of a multivariable prediction model for Individual Prognosis or Diagnosis (TRIPOD): Explanation and elaboration. Annals of Internal Medicine, 162(1), W1–W73. https://doi.org/10.7326/M14-0698</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i/>
        <w:iCs/>
        <w:color w:val="667080"/>
        <w:sz w:val="16"/>
        <w:szCs w:val="16"/>
      </w:rPr>
      <w:t xml:space="preserve">Supplementary Material S3 — TRIPOD Checklist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2026-08-31T03:49:48.304Z</dcterms:created>
  <dcterms:modified xsi:type="dcterms:W3CDTF">2026-08-31T03:49:48.305Z</dcterms:modified>
</cp:coreProperties>
</file>

<file path=docProps/custom.xml><?xml version="1.0" encoding="utf-8"?>
<Properties xmlns="http://schemas.openxmlformats.org/officeDocument/2006/custom-properties" xmlns:vt="http://schemas.openxmlformats.org/officeDocument/2006/docPropsVTypes"/>
</file>