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C9B" w:rsidRDefault="00E71121">
      <w:pPr>
        <w:spacing w:after="40"/>
      </w:pPr>
      <w:r>
        <w:rPr>
          <w:b/>
          <w:bCs/>
          <w:color w:val="1B365D"/>
          <w:sz w:val="22"/>
          <w:szCs w:val="22"/>
        </w:rPr>
        <w:t>Supplementary Material</w:t>
      </w:r>
    </w:p>
    <w:p w:rsidR="00017C9B" w:rsidRDefault="00E71121">
      <w:pPr>
        <w:pBdr>
          <w:bottom w:val="single" w:sz="12" w:space="8" w:color="1B365D"/>
        </w:pBdr>
        <w:spacing w:after="240"/>
      </w:pPr>
      <w:r>
        <w:rPr>
          <w:b/>
          <w:bCs/>
          <w:color w:val="1B365D"/>
          <w:sz w:val="30"/>
          <w:szCs w:val="30"/>
        </w:rPr>
        <w:t>S2 — COREQ (Consolidated Criteria for Reporting Qualitative Research) Checklist</w:t>
      </w:r>
    </w:p>
    <w:p w:rsidR="00017C9B" w:rsidRDefault="00E71121">
      <w:pPr>
        <w:spacing w:after="80"/>
      </w:pPr>
      <w:r>
        <w:rPr>
          <w:b/>
          <w:bCs/>
        </w:rPr>
        <w:t xml:space="preserve">Paper Title: </w:t>
      </w:r>
      <w:r>
        <w:rPr>
          <w:i/>
          <w:iCs/>
        </w:rPr>
        <w:t>Explainable Machine Learning for Student Burnout Classification and Risk Stratification: A Mixed-Methods Study with Qualitative Triangulation</w:t>
      </w:r>
    </w:p>
    <w:p w:rsidR="00017C9B" w:rsidRDefault="00E71121">
      <w:pPr>
        <w:spacing w:after="80"/>
      </w:pPr>
      <w:r>
        <w:rPr>
          <w:b/>
          <w:bCs/>
        </w:rPr>
        <w:t xml:space="preserve">Authors: </w:t>
      </w:r>
      <w:r>
        <w:t xml:space="preserve">Rifat Miah (242370038@student.presidency.edu.bd), </w:t>
      </w:r>
      <w:proofErr w:type="spellStart"/>
      <w:r>
        <w:t>Dr.</w:t>
      </w:r>
      <w:proofErr w:type="spellEnd"/>
      <w:r>
        <w:t xml:space="preserve"> A.S.M. </w:t>
      </w:r>
      <w:proofErr w:type="spellStart"/>
      <w:r>
        <w:t>Shihavuddin</w:t>
      </w:r>
      <w:proofErr w:type="spellEnd"/>
      <w:r>
        <w:t xml:space="preserve"> (shihav@eee.green.edu.bd)</w:t>
      </w:r>
    </w:p>
    <w:p w:rsidR="00017C9B" w:rsidRDefault="00E71121">
      <w:pPr>
        <w:spacing w:after="280"/>
      </w:pPr>
      <w:r>
        <w:rPr>
          <w:b/>
          <w:bCs/>
        </w:rPr>
        <w:t>Corres</w:t>
      </w:r>
      <w:r>
        <w:rPr>
          <w:b/>
          <w:bCs/>
        </w:rPr>
        <w:t xml:space="preserve">ponding Author: </w:t>
      </w:r>
      <w:r>
        <w:t>Rifat Miah (Email: 242370038@student.presidency.edu.bd), Department of Computer Science and Engineering, Presidency University, Dhaka 1212, Bangladesh (Institutional Contact: info@pu.edu.bd)</w:t>
      </w:r>
    </w:p>
    <w:p w:rsidR="00017C9B" w:rsidRDefault="00E71121">
      <w:pPr>
        <w:spacing w:after="200"/>
      </w:pPr>
      <w:r>
        <w:rPr>
          <w:i/>
          <w:iCs/>
          <w:color w:val="55606B"/>
          <w:sz w:val="19"/>
          <w:szCs w:val="19"/>
        </w:rPr>
        <w:t>32-item checklist — Tong, Sainsbury &amp; Craig (2007</w:t>
      </w:r>
      <w:r>
        <w:rPr>
          <w:i/>
          <w:iCs/>
          <w:color w:val="55606B"/>
          <w:sz w:val="19"/>
          <w:szCs w:val="19"/>
        </w:rPr>
        <w:t>)</w:t>
      </w:r>
    </w:p>
    <w:p w:rsidR="00017C9B" w:rsidRDefault="00E71121">
      <w:pPr>
        <w:pStyle w:val="Heading1"/>
        <w:pBdr>
          <w:bottom w:val="single" w:sz="8" w:space="4" w:color="1B365D"/>
        </w:pBdr>
        <w:spacing w:before="320" w:after="160"/>
      </w:pPr>
      <w:r>
        <w:rPr>
          <w:b/>
          <w:bCs/>
          <w:color w:val="1B365D"/>
          <w:sz w:val="30"/>
          <w:szCs w:val="30"/>
        </w:rPr>
        <w:t>Domain 1: Research Team and Reflexivity</w:t>
      </w:r>
    </w:p>
    <w:p w:rsidR="00017C9B" w:rsidRDefault="00E71121">
      <w:pPr>
        <w:pStyle w:val="Heading2"/>
        <w:spacing w:before="320" w:after="160"/>
      </w:pPr>
      <w:r>
        <w:rPr>
          <w:b/>
          <w:bCs/>
          <w:color w:val="1B365D"/>
          <w:sz w:val="25"/>
          <w:szCs w:val="25"/>
        </w:rPr>
        <w:t>Personal Characteristics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600"/>
        <w:gridCol w:w="4760"/>
      </w:tblGrid>
      <w:tr w:rsidR="00017C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Guide Questions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1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Interviewer / Facilitator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Which author(s) conducted the interview?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The primary author (Rifat Miah) conducted all 20 semi-structured interviews.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2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Credentials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What were the researcher's credentials?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BSc in Computer Science and Engineering (enrolled at Presidency University at time of data collection and manuscript submission).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3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Occupation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What was their occupation at the time of the study?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Undergraduate researcher and ML practitioner.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4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Gender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Was the researcher male or female?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Male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5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Experience and training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What experience or training did the researcher have?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Completed coursework in research methodology; reviewed Braun &amp; Clarke (2006, 2021) thematic analysis protocols prior to fieldwork. Interview guide reviewed and piloted before use.</w:t>
            </w:r>
          </w:p>
        </w:tc>
      </w:tr>
    </w:tbl>
    <w:p w:rsidR="00017C9B" w:rsidRDefault="00017C9B">
      <w:pPr>
        <w:spacing w:after="200"/>
      </w:pPr>
    </w:p>
    <w:p w:rsidR="00017C9B" w:rsidRDefault="00E71121">
      <w:pPr>
        <w:pStyle w:val="Heading2"/>
        <w:spacing w:before="320" w:after="160"/>
      </w:pPr>
      <w:r>
        <w:rPr>
          <w:b/>
          <w:bCs/>
          <w:color w:val="1B365D"/>
          <w:sz w:val="25"/>
          <w:szCs w:val="25"/>
        </w:rPr>
        <w:t>Relationship with Participants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600"/>
        <w:gridCol w:w="4760"/>
      </w:tblGrid>
      <w:tr w:rsidR="00017C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Guide Questions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6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Relationship established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Was a relationship established prior to study commencement?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Yes. The primary researcher was a peer student at participating institutions; some participants were known via institutional networks. Acknowledged as a reflexivity consid</w:t>
            </w:r>
            <w:r>
              <w:t>eration in Section 8.2.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7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Participant knowledge of the interviewer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What did participants know about the researcher?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All participants were informed via the written informed consent form of: (</w:t>
            </w:r>
            <w:proofErr w:type="spellStart"/>
            <w:r>
              <w:t>i</w:t>
            </w:r>
            <w:proofErr w:type="spellEnd"/>
            <w:r>
              <w:t>) the academic purpose, (ii) the researcher's identity and affiliation, (iii) the voluntary nature of participation, and (iv) intended use for academic publication.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lastRenderedPageBreak/>
              <w:t>8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Interviewer characteristics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What characteristics were reported about the interviewer?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Bengali-speaking male student from a Bangladeshi private university. Reflexivity mitigation: qualitative open-coding completed before reviewing SHAP feature rankings; ind</w:t>
            </w:r>
            <w:r>
              <w:t>ependent second coder employed (κ = 0.82, Section 3.8).</w:t>
            </w:r>
          </w:p>
        </w:tc>
      </w:tr>
    </w:tbl>
    <w:p w:rsidR="00017C9B" w:rsidRDefault="00E71121">
      <w:pPr>
        <w:pStyle w:val="Heading1"/>
        <w:pBdr>
          <w:bottom w:val="single" w:sz="8" w:space="4" w:color="1B365D"/>
        </w:pBdr>
        <w:spacing w:before="320" w:after="160"/>
      </w:pPr>
      <w:r>
        <w:rPr>
          <w:b/>
          <w:bCs/>
          <w:color w:val="1B365D"/>
          <w:sz w:val="30"/>
          <w:szCs w:val="30"/>
        </w:rPr>
        <w:t>Domain 2: Study Design</w:t>
      </w:r>
    </w:p>
    <w:p w:rsidR="00017C9B" w:rsidRDefault="00E71121">
      <w:pPr>
        <w:pStyle w:val="Heading2"/>
        <w:spacing w:before="320" w:after="160"/>
      </w:pPr>
      <w:r>
        <w:rPr>
          <w:b/>
          <w:bCs/>
          <w:color w:val="1B365D"/>
          <w:sz w:val="25"/>
          <w:szCs w:val="25"/>
        </w:rPr>
        <w:t>Theoretical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600"/>
        <w:gridCol w:w="4760"/>
      </w:tblGrid>
      <w:tr w:rsidR="00017C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Guide Questions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9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Methodological orientation and theory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What methodological orientation was stated to underpin the study?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Reflexive Thematic Analysis (Braun &amp; Clarke, 2006, 2021) within an Explanatory Sequential Mixed-Methods Design (QUAN → QUAL; Creswell &amp; Plano Clark, 2018). Theoretical frameworks: COR Theory, JD-R Model, Self-Determination Theory.</w:t>
            </w:r>
          </w:p>
        </w:tc>
      </w:tr>
    </w:tbl>
    <w:p w:rsidR="00017C9B" w:rsidRDefault="00017C9B">
      <w:pPr>
        <w:spacing w:after="200"/>
      </w:pPr>
    </w:p>
    <w:p w:rsidR="00017C9B" w:rsidRDefault="00E71121">
      <w:pPr>
        <w:pStyle w:val="Heading2"/>
        <w:spacing w:before="320" w:after="160"/>
      </w:pPr>
      <w:r>
        <w:rPr>
          <w:b/>
          <w:bCs/>
          <w:color w:val="1B365D"/>
          <w:sz w:val="25"/>
          <w:szCs w:val="25"/>
        </w:rPr>
        <w:t>Participant Selection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600"/>
        <w:gridCol w:w="4760"/>
      </w:tblGrid>
      <w:tr w:rsidR="00017C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Guide Questions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10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Sampling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How were participants selected?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Nested purposive maximum variation sampling. N = 20 selected from N = 601 cohort across three burnout severity strata (Low: n = 2, Medium: n = 8, High: n = 10), institutional type, academic year, and degree level.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11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Method of approach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How were participants approached?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Via direct message, WhatsApp, or email. Approached participants who had previously indicated willingness for follow-up contact in the quantitative survey. All 20 consented participants were successfully interviewed.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12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Sample size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How many participants were in the study?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N = 20 qualitative interview participants.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13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Non-participation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How many people refused to participate or dropped out?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Three initially willing participants declined to schedule (citing time / academic pressure); replaced by next eligible stratum members. No mid-interview withdrawals.</w:t>
            </w:r>
          </w:p>
        </w:tc>
      </w:tr>
    </w:tbl>
    <w:p w:rsidR="00017C9B" w:rsidRDefault="00017C9B">
      <w:pPr>
        <w:spacing w:after="200"/>
      </w:pPr>
    </w:p>
    <w:p w:rsidR="00017C9B" w:rsidRDefault="00E71121">
      <w:pPr>
        <w:pStyle w:val="Heading2"/>
        <w:spacing w:before="320" w:after="160"/>
      </w:pPr>
      <w:r>
        <w:rPr>
          <w:b/>
          <w:bCs/>
          <w:color w:val="1B365D"/>
          <w:sz w:val="25"/>
          <w:szCs w:val="25"/>
        </w:rPr>
        <w:t>Setting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600"/>
        <w:gridCol w:w="4760"/>
      </w:tblGrid>
      <w:tr w:rsidR="00017C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Guide Questions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14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Setting of data collection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Where was the data collected?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In-person: quiet campus spaces (library study rooms, cafeteria areas). Remote: WhatsApp audio calls or Google Meet, as preferred by participant.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lastRenderedPageBreak/>
              <w:t>15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Presence of non-participants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Was anyone else present besides the participants and researchers?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No. All interviews were one-on-one and confidential.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16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Description of sample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What are the important characteristics of the sample?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See Table 8 (Section 8) for full demographic characteristics.</w:t>
            </w:r>
            <w:r>
              <w:t xml:space="preserve"> Participants spanned all academic years (1st–Final), multiple degree programs (Bachelor’s, Master’s), and three burnout tiers (Low n=2, Medium n=8, High n=10)</w:t>
            </w:r>
            <w:bookmarkStart w:id="0" w:name="_GoBack"/>
            <w:bookmarkEnd w:id="0"/>
            <w:r>
              <w:t>. Semi-structured qualitative interv</w:t>
            </w:r>
            <w:r>
              <w:t>iews were conducted during June–July 2026, following completion of the quantitative survey</w:t>
            </w:r>
            <w:r>
              <w:t xml:space="preserve"> data collection </w:t>
            </w:r>
            <w:r w:rsidRPr="00814276">
              <w:t xml:space="preserve">phase </w:t>
            </w:r>
            <w:r w:rsidR="00814276" w:rsidRPr="00814276">
              <w:rPr>
                <w:rFonts w:ascii="Cambria" w:hAnsi="Cambria" w:cs="Courier New"/>
                <w:color w:val="0D0D0D" w:themeColor="text1" w:themeTint="F2"/>
              </w:rPr>
              <w:t>(completed May 2026; survey conducted March–May 2026</w:t>
            </w:r>
            <w:r w:rsidRPr="00814276">
              <w:rPr>
                <w:rFonts w:ascii="Cambria" w:hAnsi="Cambria"/>
                <w:color w:val="0D0D0D" w:themeColor="text1" w:themeTint="F2"/>
              </w:rPr>
              <w:t>).</w:t>
            </w:r>
          </w:p>
        </w:tc>
      </w:tr>
    </w:tbl>
    <w:p w:rsidR="00017C9B" w:rsidRDefault="00017C9B">
      <w:pPr>
        <w:spacing w:after="200"/>
      </w:pPr>
    </w:p>
    <w:p w:rsidR="00017C9B" w:rsidRDefault="00E71121">
      <w:pPr>
        <w:pStyle w:val="Heading2"/>
        <w:spacing w:before="320" w:after="160"/>
      </w:pPr>
      <w:r>
        <w:rPr>
          <w:b/>
          <w:bCs/>
          <w:color w:val="1B365D"/>
          <w:sz w:val="25"/>
          <w:szCs w:val="25"/>
        </w:rPr>
        <w:t>Data Collection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600"/>
        <w:gridCol w:w="4760"/>
      </w:tblGrid>
      <w:tr w:rsidR="00017C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Guide Questions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17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Interview guide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Were questions, prompts, guides provided by the authors? Was it pilot tested?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Yes. Structured 10-item interview guide used covering: daily study routine, sleep duration, social media, part-time employment, academic stress, mental health, physical activity,</w:t>
            </w:r>
            <w:r>
              <w:t xml:space="preserve"> subjective burnout, attendance, sleep quality. Reviewed by co-author; pilot tested with 2 volunteer students not in main sample.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18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Repeat interviews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Were repeat interviews carried out?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No. Each participant was interviewed once.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19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Audio/visual recording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Did the research use audio or visual recording?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Yes. All interviews were audio-recorded with participant consent, transcribed verbatim in Bangla, and translated into English with back-translation verification.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20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Field notes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Were field notes made during and/or after the interview?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Yes. The primary interviewer maintained reflective notes after each session documenting contextual observations, emerging patterns, and reflexive considerations.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21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Duration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What was the duration of the interviews?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Approximately 20–30 minutes per interview (range: 18–35 minutes).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22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Data saturation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Was data saturation discussed?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Yes. Thematic saturation assessed iteratively; no new major themes emerged after the 15th interview. Final 5 interviews confirmed redundancy across all four themes. Consistent with Guest et al. (2006) benchmarks for homogenous populations.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23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Transcripts returned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Were transcripts returned to participants for comment and/or correction?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Participants were offered transcript review; none requested corrections or changes.</w:t>
            </w:r>
          </w:p>
        </w:tc>
      </w:tr>
    </w:tbl>
    <w:p w:rsidR="00017C9B" w:rsidRDefault="00E71121">
      <w:pPr>
        <w:pStyle w:val="Heading1"/>
        <w:pBdr>
          <w:bottom w:val="single" w:sz="8" w:space="4" w:color="1B365D"/>
        </w:pBdr>
        <w:spacing w:before="320" w:after="160"/>
      </w:pPr>
      <w:r>
        <w:rPr>
          <w:b/>
          <w:bCs/>
          <w:color w:val="1B365D"/>
          <w:sz w:val="30"/>
          <w:szCs w:val="30"/>
        </w:rPr>
        <w:t>Domain 3: Analysis and Findings</w:t>
      </w:r>
    </w:p>
    <w:p w:rsidR="00017C9B" w:rsidRDefault="00E71121">
      <w:pPr>
        <w:pStyle w:val="Heading2"/>
        <w:spacing w:before="320" w:after="160"/>
      </w:pPr>
      <w:r>
        <w:rPr>
          <w:b/>
          <w:bCs/>
          <w:color w:val="1B365D"/>
          <w:sz w:val="25"/>
          <w:szCs w:val="25"/>
        </w:rPr>
        <w:lastRenderedPageBreak/>
        <w:t>Data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600"/>
        <w:gridCol w:w="4760"/>
      </w:tblGrid>
      <w:tr w:rsidR="00017C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Guide Questions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24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Number of data coders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How many data coders coded the data?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Two coders: (1) primary author coded all 20 transcripts; (2) independent bilingual second coder coded 25% random sub-sample (n = 5 transcripts).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25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Description of the coding tree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Did authors provide a description of the coding tree?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 xml:space="preserve">Yes. Four overarching themes with sub-themes identified and reported in Sections 8.3–8.6: (1) Academic Dread and Career Despair; (2) Institutional Identity and Low-Pressure Burnout; (3) Digital Fatigue </w:t>
            </w:r>
            <w:r>
              <w:t>as Maladaptive Coping; (4) Circadian Collapse and Sleep Deprivation.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26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Derivation of themes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Were themes identified in advance or derived from the data?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Themes derived inductively from the data (bottom-up open coding), completed before reviewing quantitative SHAP feature rankings. Subsequently mapped onto JD-R and COR frameworks in the triangulation matrix (Table 9, Section 9).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27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Software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What software was used to manage the data?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Manual coding using structured codebook in Microsoft Word/Excel. No qualitative data management software used; corpus size (N = 20 transcripts × 10 questions) was manageable without software.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28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Participant checking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Did participants provide feedback on the findings?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Not formally completed. The independent inter-</w:t>
            </w:r>
            <w:proofErr w:type="spellStart"/>
            <w:r>
              <w:t>rater</w:t>
            </w:r>
            <w:proofErr w:type="spellEnd"/>
            <w:r>
              <w:t xml:space="preserve"> reliability verification (κ = 0.82, Section 3.8) serves as a methodological proxy for analytical trustworthiness.</w:t>
            </w:r>
          </w:p>
        </w:tc>
      </w:tr>
    </w:tbl>
    <w:p w:rsidR="00017C9B" w:rsidRDefault="00017C9B">
      <w:pPr>
        <w:spacing w:after="200"/>
      </w:pPr>
    </w:p>
    <w:p w:rsidR="00017C9B" w:rsidRDefault="00E71121">
      <w:pPr>
        <w:pStyle w:val="Heading2"/>
        <w:spacing w:before="320" w:after="160"/>
      </w:pPr>
      <w:r>
        <w:rPr>
          <w:b/>
          <w:bCs/>
          <w:color w:val="1B365D"/>
          <w:sz w:val="25"/>
          <w:szCs w:val="25"/>
        </w:rPr>
        <w:t>Reporting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600"/>
        <w:gridCol w:w="4760"/>
      </w:tblGrid>
      <w:tr w:rsidR="00017C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Guide Questions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29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Quotations presented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Were participant quotations presented to illustrate the themes/findings?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Yes. Representative verbatim quotations provided in Sections 8.3–8.6 for all four themes. Each quotation accompanied by participant identifier (P1–P20), degree program, academic year, institutional type, and burnout tier.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30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Data and findings consistent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Was there consistency between the data presented and the findings?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Yes. Themes are consistently grounded in verbatim quotations. Triangulation matrix (Table 9, Section 9) explicitly maps SHAP signals to qualitative themes, confirming cross-strand consisten</w:t>
            </w:r>
            <w:r>
              <w:t>cy.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31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Clarity of major themes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Were major themes clearly presented in the findings?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Yes. Four major themes presented with dedicated subsections (Sections 8.3–8.6), each with thematic title, descriptive narrative, representative quotations with participant identifiers, and methodological caveats where applicable.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32</w:t>
            </w:r>
          </w:p>
        </w:tc>
        <w:tc>
          <w:tcPr>
            <w:tcW w:w="15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Clarity of minor themes</w:t>
            </w:r>
          </w:p>
        </w:tc>
        <w:tc>
          <w:tcPr>
            <w:tcW w:w="2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Is there a description of diverse cases or discussion of minor themes?</w:t>
            </w:r>
          </w:p>
        </w:tc>
        <w:tc>
          <w:tcPr>
            <w:tcW w:w="4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Yes. Theme 2 (Institutional Identity Burnout) noted as emerging from n = 2 National University participants and framed as exploratory/hypothesis-generating (Sect</w:t>
            </w:r>
            <w:r>
              <w:t xml:space="preserve">ion 8.4). Protective patterns (e.g., P5 as resilient </w:t>
            </w:r>
            <w:r>
              <w:lastRenderedPageBreak/>
              <w:t>low-burnout case) contrasted with high-burnout cases in Section 8.6.</w:t>
            </w:r>
          </w:p>
        </w:tc>
      </w:tr>
    </w:tbl>
    <w:p w:rsidR="00017C9B" w:rsidRDefault="00E71121">
      <w:pPr>
        <w:pStyle w:val="Heading1"/>
        <w:pBdr>
          <w:bottom w:val="single" w:sz="8" w:space="4" w:color="1B365D"/>
        </w:pBdr>
        <w:spacing w:before="320" w:after="160"/>
      </w:pPr>
      <w:r>
        <w:rPr>
          <w:b/>
          <w:bCs/>
          <w:color w:val="1B365D"/>
          <w:sz w:val="30"/>
          <w:szCs w:val="30"/>
        </w:rPr>
        <w:lastRenderedPageBreak/>
        <w:t>COREQ Compliance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600"/>
        <w:gridCol w:w="3560"/>
      </w:tblGrid>
      <w:tr w:rsidR="00017C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1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Items Reported</w:t>
            </w:r>
          </w:p>
        </w:tc>
        <w:tc>
          <w:tcPr>
            <w:tcW w:w="35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  <w:color w:val="FFFFFF"/>
                <w:sz w:val="19"/>
                <w:szCs w:val="19"/>
              </w:rPr>
              <w:t>Compliance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Domain 1: Research Team and Reflexivity</w:t>
            </w:r>
          </w:p>
        </w:tc>
        <w:tc>
          <w:tcPr>
            <w:tcW w:w="1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8/8</w:t>
            </w:r>
          </w:p>
        </w:tc>
        <w:tc>
          <w:tcPr>
            <w:tcW w:w="35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rPr>
                <w:b/>
                <w:bCs/>
                <w:color w:val="1E7B34"/>
              </w:rPr>
              <w:t>Full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Domain 2: Study Design</w:t>
            </w:r>
          </w:p>
        </w:tc>
        <w:tc>
          <w:tcPr>
            <w:tcW w:w="1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14/14</w:t>
            </w:r>
          </w:p>
        </w:tc>
        <w:tc>
          <w:tcPr>
            <w:tcW w:w="35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rPr>
                <w:b/>
                <w:bCs/>
                <w:color w:val="1E7B34"/>
              </w:rPr>
              <w:t>Full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Domain 3: Analysis and Findings</w:t>
            </w:r>
          </w:p>
        </w:tc>
        <w:tc>
          <w:tcPr>
            <w:tcW w:w="1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9/10</w:t>
            </w:r>
          </w:p>
        </w:tc>
        <w:tc>
          <w:tcPr>
            <w:tcW w:w="35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17C9B" w:rsidRDefault="00E71121">
            <w:r>
              <w:t>Full (Item 28 partially met via IRR as proxy)</w:t>
            </w:r>
          </w:p>
        </w:tc>
      </w:tr>
      <w:tr w:rsidR="00017C9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EAF1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</w:rPr>
              <w:t>Total</w:t>
            </w:r>
          </w:p>
        </w:tc>
        <w:tc>
          <w:tcPr>
            <w:tcW w:w="1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EAF1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</w:rPr>
              <w:t>31/32</w:t>
            </w:r>
          </w:p>
        </w:tc>
        <w:tc>
          <w:tcPr>
            <w:tcW w:w="35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EAF1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17C9B" w:rsidRDefault="00E71121">
            <w:r>
              <w:rPr>
                <w:b/>
                <w:bCs/>
              </w:rPr>
              <w:t>97% Compliance</w:t>
            </w:r>
          </w:p>
        </w:tc>
      </w:tr>
    </w:tbl>
    <w:p w:rsidR="00017C9B" w:rsidRDefault="00E71121">
      <w:pPr>
        <w:pBdr>
          <w:top w:val="single" w:sz="4" w:space="6" w:color="B9C4D0"/>
        </w:pBdr>
        <w:spacing w:before="300"/>
      </w:pPr>
      <w:r>
        <w:rPr>
          <w:i/>
          <w:iCs/>
          <w:color w:val="667080"/>
          <w:sz w:val="16"/>
          <w:szCs w:val="16"/>
        </w:rPr>
        <w:t>Adapted from: Tong, A., Sainsbury, P., &amp; Craig, J. (2007). Consolidated criteria for reporting qualitative research (COREQ): A 32-item checklist for interviews and focus groups. International Journal for Quality in Health Care, 19(6), 349–357. https://doi.</w:t>
      </w:r>
      <w:r>
        <w:rPr>
          <w:i/>
          <w:iCs/>
          <w:color w:val="667080"/>
          <w:sz w:val="16"/>
          <w:szCs w:val="16"/>
        </w:rPr>
        <w:t>org/10.1093/intqhc/mzm042</w:t>
      </w:r>
    </w:p>
    <w:sectPr w:rsidR="00017C9B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1121" w:rsidRDefault="00E71121">
      <w:r>
        <w:separator/>
      </w:r>
    </w:p>
  </w:endnote>
  <w:endnote w:type="continuationSeparator" w:id="0">
    <w:p w:rsidR="00E71121" w:rsidRDefault="00E71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C9B" w:rsidRDefault="00E71121">
    <w:pPr>
      <w:jc w:val="center"/>
    </w:pPr>
    <w:r>
      <w:rPr>
        <w:i/>
        <w:iCs/>
        <w:color w:val="667080"/>
        <w:sz w:val="16"/>
        <w:szCs w:val="16"/>
      </w:rPr>
      <w:t>Supplementary Material S2 — COREQ Checklist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1121" w:rsidRDefault="00E71121">
      <w:r>
        <w:separator/>
      </w:r>
    </w:p>
  </w:footnote>
  <w:footnote w:type="continuationSeparator" w:id="0">
    <w:p w:rsidR="00E71121" w:rsidRDefault="00E711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A25677"/>
    <w:multiLevelType w:val="hybridMultilevel"/>
    <w:tmpl w:val="92B6CBAE"/>
    <w:lvl w:ilvl="0" w:tplc="88F0E388">
      <w:start w:val="1"/>
      <w:numFmt w:val="bullet"/>
      <w:lvlText w:val="●"/>
      <w:lvlJc w:val="left"/>
      <w:pPr>
        <w:ind w:left="720" w:hanging="360"/>
      </w:pPr>
    </w:lvl>
    <w:lvl w:ilvl="1" w:tplc="73727BEC">
      <w:start w:val="1"/>
      <w:numFmt w:val="bullet"/>
      <w:lvlText w:val="○"/>
      <w:lvlJc w:val="left"/>
      <w:pPr>
        <w:ind w:left="1440" w:hanging="360"/>
      </w:pPr>
    </w:lvl>
    <w:lvl w:ilvl="2" w:tplc="ACE20AD4">
      <w:start w:val="1"/>
      <w:numFmt w:val="bullet"/>
      <w:lvlText w:val="■"/>
      <w:lvlJc w:val="left"/>
      <w:pPr>
        <w:ind w:left="2160" w:hanging="360"/>
      </w:pPr>
    </w:lvl>
    <w:lvl w:ilvl="3" w:tplc="B594787E">
      <w:start w:val="1"/>
      <w:numFmt w:val="bullet"/>
      <w:lvlText w:val="●"/>
      <w:lvlJc w:val="left"/>
      <w:pPr>
        <w:ind w:left="2880" w:hanging="360"/>
      </w:pPr>
    </w:lvl>
    <w:lvl w:ilvl="4" w:tplc="D7661A42">
      <w:start w:val="1"/>
      <w:numFmt w:val="bullet"/>
      <w:lvlText w:val="○"/>
      <w:lvlJc w:val="left"/>
      <w:pPr>
        <w:ind w:left="3600" w:hanging="360"/>
      </w:pPr>
    </w:lvl>
    <w:lvl w:ilvl="5" w:tplc="B5F29CE8">
      <w:start w:val="1"/>
      <w:numFmt w:val="bullet"/>
      <w:lvlText w:val="■"/>
      <w:lvlJc w:val="left"/>
      <w:pPr>
        <w:ind w:left="4320" w:hanging="360"/>
      </w:pPr>
    </w:lvl>
    <w:lvl w:ilvl="6" w:tplc="F710EC9E">
      <w:start w:val="1"/>
      <w:numFmt w:val="bullet"/>
      <w:lvlText w:val="●"/>
      <w:lvlJc w:val="left"/>
      <w:pPr>
        <w:ind w:left="5040" w:hanging="360"/>
      </w:pPr>
    </w:lvl>
    <w:lvl w:ilvl="7" w:tplc="309C2970">
      <w:start w:val="1"/>
      <w:numFmt w:val="bullet"/>
      <w:lvlText w:val="●"/>
      <w:lvlJc w:val="left"/>
      <w:pPr>
        <w:ind w:left="5760" w:hanging="360"/>
      </w:pPr>
    </w:lvl>
    <w:lvl w:ilvl="8" w:tplc="19366F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C9B"/>
    <w:rsid w:val="00017C9B"/>
    <w:rsid w:val="00814276"/>
    <w:rsid w:val="00E7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54C9"/>
  <w15:docId w15:val="{E892FC78-7FDC-4312-8C1D-293E91750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bn-BD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1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76036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355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82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0403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1448</Words>
  <Characters>8257</Characters>
  <Application>Microsoft Office Word</Application>
  <DocSecurity>0</DocSecurity>
  <Lines>68</Lines>
  <Paragraphs>19</Paragraphs>
  <ScaleCrop>false</ScaleCrop>
  <Company/>
  <LinksUpToDate>false</LinksUpToDate>
  <CharactersWithSpaces>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Rifat</cp:lastModifiedBy>
  <cp:revision>2</cp:revision>
  <dcterms:created xsi:type="dcterms:W3CDTF">2026-08-31T03:48:00Z</dcterms:created>
  <dcterms:modified xsi:type="dcterms:W3CDTF">2026-10-20T18:27:00Z</dcterms:modified>
</cp:coreProperties>
</file>