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w:t>
      </w:r>
      <w:r>
        <w:rPr>
          <w:vertAlign w:val="superscript"/>
        </w:rPr>
        <w:t>1,*</w:t>
      </w:r>
      <w:r>
        <w:t xml:space="preserve"> and Dr. A.S.M. Shihavuddin</w:t>
      </w:r>
      <w:r>
        <w:rPr>
          <w:vertAlign w:val="superscript"/>
        </w:rPr>
        <w:t>2</w:t>
      </w:r>
    </w:p>
    <w:p>
      <w:pPr>
        <w:spacing w:after="80" w:line="276" w:lineRule="auto"/>
      </w:pPr>
      <w:r>
        <w:rPr>
          <w:vertAlign w:val="superscript"/>
        </w:rPr>
        <w:t>1</w:t>
      </w:r>
      <w:r>
        <w:t xml:space="preserve"> Department of Computer Science and Engineering, Presidency University, Dhaka 1212, Bangladesh</w:t>
      </w:r>
    </w:p>
    <w:p>
      <w:pPr>
        <w:spacing w:after="80" w:line="276" w:lineRule="auto"/>
      </w:pPr>
      <w:r>
        <w:rPr>
          <w:vertAlign w:val="superscript"/>
        </w:rPr>
        <w:t>2</w:t>
      </w:r>
      <w:r>
        <w:t xml:space="preserve"> Department of Electrical and Electronic Engineering, Green University of Bangladesh, Dhaka 1207, Bangladesh</w:t>
      </w:r>
    </w:p>
    <w:p>
      <w:pPr>
        <w:spacing w:after="80" w:line="276" w:lineRule="auto"/>
      </w:pPr>
      <w:r>
        <w:t>*Corresponding Author: Rifat Miah (Institutional Email: 242370038@student.presidency.edu.bd | Personal: rifatmiah1992003@gmail.com)</w:t>
      </w:r>
    </w:p>
    <w:p>
      <w:pPr>
        <w:spacing w:after="80" w:line="276" w:lineRule="auto"/>
      </w:pPr>
      <w:r>
        <w:t>Co-Author: Dr. A.S.M. Shihavuddin (Email: shihav@eee.green.edu.bd)</w:t>
      </w:r>
    </w:p>
    <w:p>
      <w:pPr>
        <w:spacing w:after="80" w:line="276" w:lineRule="auto"/>
      </w:pPr>
      <w:r>
        <w:rPr>
          <w:i/>
        </w:rPr>
        <w:t>Institutional Contact:</w:t>
      </w:r>
      <w:r>
        <w:t xml:space="preserve"> Presidency University, Dhaka 1212, Bangladesh (Email: info@pu.edu.bd)</w:t>
      </w:r>
    </w:p>
    <w:p>
      <w:pPr>
        <w:spacing w:after="80" w:line="276" w:lineRule="auto"/>
      </w:pPr>
      <w:r>
        <w:rPr>
          <w:i/>
        </w:rPr>
        <w:t>Affiliation Note</w:t>
      </w:r>
      <w:r>
        <w:t>: Research activities, survey data collection, qualitative interviews, and predictive modeling were conducted at the Department of Computer Science and Engineering, Presidency University, Dhaka, Bangladesh.</w:t>
      </w:r>
    </w:p>
    <w:p>
      <w:pPr>
        <w:pStyle w:val="Heading2"/>
        <w:spacing w:before="240" w:after="80"/>
      </w:pPr>
      <w:r>
        <w:rPr>
          <w:color w:val="1E3A8A"/>
        </w:rPr>
        <w:t>Abstract</w:t>
      </w:r>
    </w:p>
    <w:p>
      <w:pPr>
        <w:spacing w:after="80" w:line="276" w:lineRule="auto"/>
      </w:pPr>
      <w:r>
        <w:rPr>
          <w:b/>
        </w:rPr>
        <w:t>Background:</w:t>
      </w:r>
      <w:r>
        <w:t xml:space="preserve"> Academic burnout is a growing mental health challenge in South Asian higher education, where counselling infrastructure remains scarce. Existing screening frameworks rely on isolated psychometric surveys without interpretable predictive modelling or qualitative contextualisation. The primary outcome uses a single-item global self-rating — a recognised boundary limiting comparisons with multi-item validated instruments.</w:t>
      </w:r>
    </w:p>
    <w:p>
      <w:pPr>
        <w:spacing w:after="80" w:line="276" w:lineRule="auto"/>
      </w:pPr>
      <w:r>
        <w:rPr>
          <w:b/>
        </w:rPr>
        <w:t>Methods:</w:t>
      </w:r>
      <w:r>
        <w:t xml:space="preserve"> An explanatory sequential mixed-methods design (QUAN → QUAL) was implemented on N = 601 university students (estimated response rate: 40–50%) across 11 institutions in Bangladesh. Ten supervised classifiers and a Soft Voting Ensemble were evaluated via 10-fold stratified cross-validation with cross-subgroup pseudo-external validation. Nine theory-grounded composite indices operationalising Conservation of Resources (COR) and Job Demands-Resources (JD-R) frameworks were derived. A purposive sub-sample of N = 20 students participated in semi-structured interviews analysed by reflexive thematic analysis.</w:t>
      </w:r>
    </w:p>
    <w:p>
      <w:pPr>
        <w:spacing w:after="80" w:line="276" w:lineRule="auto"/>
      </w:pPr>
      <w:r>
        <w:rPr>
          <w:b/>
        </w:rPr>
        <w:t>Results:</w:t>
      </w:r>
      <w:r>
        <w:t xml:space="preserve"> Random Forest achieved the best performance (Accuracy = 65.89% ± 5.83%, ROC-AUC = 0.7126 ± 0.0775), an 8.32 percentage-point gain over the majority baseline (McNemar p &lt; .001, Bonferroni-adjusted p = .001). Cross-subgroup pseudo-external validation confirmed model stability (Accuracy = 67.03%, ROC-AUC = 0.6597). Decision threshold calibration (th = 0.38) raised sensitivity to 71.76%. SHAP ranked academic performance index, CGPA midpoint, and screen-to-sleep ratio as top predictors; sociodemographic variables contributed negligibly (mean |SHAP| &lt; 0.007). Thematic analysis revealed four themes: academic dread and career despair, institutional identity burnout, digital fatigue as maladaptive coping, and circadian collapse.</w:t>
      </w:r>
    </w:p>
    <w:p>
      <w:pPr>
        <w:spacing w:after="80" w:line="276" w:lineRule="auto"/>
      </w:pPr>
      <w:r>
        <w:rPr>
          <w:b/>
        </w:rPr>
        <w:t>Conclusion:</w:t>
      </w:r>
      <w:r>
        <w:t xml:space="preserve"> Integrating machine learning, SHAP explainability, and reflexive qualitative analysis identifies contextually grounded burnout risk patterns in a South Asian cohort, consistent with a career anxiety → digital escapism → sleep exhaustion pathway. Results constitute an exploratory baseline for campus mental health systems, not a clinical diagnostic tool. An open-access screening portal is available at: </w:t>
      </w:r>
      <w:r>
        <w:rPr>
          <w:rFonts w:ascii="Consolas" w:hAnsi="Consolas"/>
          <w:rFonts w:ascii="Consolas" w:hAnsi="Consolas" w:cs="Consolas"/>
          <w:color w:val="1E293B"/>
        </w:rPr>
        <w:t>https://burnoutwebapplication.netlify.app/</w:t>
      </w:r>
      <w:r>
        <w:t>.</w:t>
      </w:r>
    </w:p>
    <w:p>
      <w:pPr>
        <w:spacing w:after="80" w:line="276" w:lineRule="auto"/>
      </w:pPr>
      <w:r>
        <w:rPr>
          <w:b/>
        </w:rPr>
        <w:t>Keywords:</w:t>
      </w:r>
      <w:r>
        <w:t xml:space="preserve">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[5] recognised burnout as an occupational syndrome in ICD-11, recognising that unaddressed chronic stress leads to serious health consequences. While the conceptualisation of the framework was initially done in work environments [6], the framework is readily transferable to higher education, where university students face cognitive workloads, deadlines, and performance evaluations that are similar to professional demands [7]. Cross-national studies estimate that 30 to 50% of undergraduates suffer from clinically relevant burnout [8–10]. Rates of burnout are especially high in heavy-workload disciplines and developing economies. This challenge is further compounded by structural constraints in South Asia. Over the past two decades, university enrolment in Bangladesh has grown rapidly but institutional mental health services, student counselling centers and faculty mentoring programs have lagged [11, 12]. Recent empirical assessments by Hossain et al. [13] indicated that approximately 47% of surveyed Bangladeshi university students experience moderate-to-severe psychological distress, anxiety, and depressive symptoms, which are strongly correlated with academic disengagement and emotional exhaustion.</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16].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[17, 18].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[21, 22].</w:t>
      </w:r>
    </w:p>
    <w:p>
      <w:pPr>
        <w:spacing w:after="80" w:line="276" w:lineRule="auto"/>
      </w:pPr>
      <w:r>
        <w:t>Explainable artificial intelligence (XAI) frameworks, specifically SHapley Additive exPlanations (SHAP) based on cooperative game theory [23], overcome this interpretability barrier by quantifying the contribution of each feature to the overall model behaviour [21]. SHAP can also be used for transparent algorithmic auditing [22, 24, 25], quantifying the influence of academic metrics, sleep schedules and lifestyle factors on risk classifications while safeguarding algorithmic fairness and equity in educational applications [25].</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28].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[29]. Second, few educational models incorporate game-theoretic XAI techniques to go beyond simple feature counts to interpretable attributions [21, 22]. Third, there is a paucity of psychometric predictive research in developing countries where socio-economic realities, academic structures and counselling resources are very different from Western contexts [11, 12]. Fourth and most importantly, few studies integrate machine learning classification, SHAP interpretability, and qualitative thematic analysis in an explanatory sequential mixed-methods design (QUAN → QUAL) [22, 30, 31].</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 xml:space="preserve">Based on the COR (Conservation of Resources) theory [32], the Job Demands-Resources (JD-R) model [33] and the previous empirical literature [1, 4], we specify the following four theory-derived, exploratory research expectations, formulated prior to data analysis. </w:t>
      </w:r>
      <w:r>
        <w:rPr>
          <w:i/>
        </w:rPr>
        <w:t>Transparency Note:</w:t>
      </w:r>
      <w:r>
        <w:t xml:space="preserve"> These expectations are not formally pre-registered in a public registry (e.g., OSF, AsPredicted) and are therefore designated as </w:t>
      </w:r>
      <w:r>
        <w:rPr>
          <w:i/>
        </w:rPr>
        <w:t>exploratory, theory-driven</w:t>
      </w:r>
      <w:r>
        <w:t xml:space="preserve"> hypotheses rather than confirmatory pre-registered predictions. Results should be interpreted accordingly and considered hypothesis-generating for future pre-registered replication studies:</w:t>
      </w:r>
    </w:p>
    <w:p>
      <w:pPr>
        <w:spacing w:after="80" w:line="276" w:lineRule="auto"/>
      </w:pPr>
      <w:r>
        <w:t>H1 (Exploratory). Ensemble-based classifiers (e.g. Random Forest, XGBoost [34], LightGBM [35], CatBoost [36]) will perform better than single learner models (e.g. Logistic Regression, Decision Tree) on F1-scores and ROC-AUC metrics.</w:t>
      </w:r>
    </w:p>
    <w:p>
      <w:pPr>
        <w:spacing w:after="80" w:line="276" w:lineRule="auto"/>
      </w:pPr>
      <w:r>
        <w:t>H2 (Exploratory).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(Exploratory). According to COR theory's resource-preservation principles, resource-related indicators (sleep quality, physical activity, wellbeing buffer) will be negatively associated with severity of burnout.</w:t>
      </w:r>
    </w:p>
    <w:p>
      <w:pPr>
        <w:spacing w:after="80" w:line="276" w:lineRule="auto"/>
      </w:pPr>
      <w:r>
        <w:t>H4 (Exploratory).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pStyle w:val="ListBullet"/>
        <w:spacing w:after="80" w:line="276" w:lineRule="auto"/>
      </w:pPr>
      <w:r>
        <w:t>Academic Demands: Study hours, academic pressure and workload score.</w:t>
      </w:r>
    </w:p>
    <w:p>
      <w:pPr>
        <w:pStyle w:val="ListBullet"/>
        <w:spacing w:after="80" w:line="276" w:lineRule="auto"/>
      </w:pPr>
      <w:r>
        <w:t>Psychological Vulnerability: Self-report of depression and stress.</w:t>
      </w:r>
    </w:p>
    <w:p>
      <w:pPr>
        <w:pStyle w:val="ListBullet"/>
        <w:spacing w:after="80" w:line="276" w:lineRule="auto"/>
      </w:pPr>
      <w:r>
        <w:t>Lifestyle &amp; Behavioural Habits: Sleep duration, sleep quality, physical activity, and social media consumption.</w:t>
      </w:r>
    </w:p>
    <w:p>
      <w:pPr>
        <w:pStyle w:val="ListBullet"/>
        <w:spacing w:after="80" w:line="276" w:lineRule="auto"/>
      </w:pPr>
      <w:r>
        <w:t>Sociodemographic Characteristics: Age, gender, academic year, and level of degree.</w:t>
      </w:r>
    </w:p>
    <w:p>
      <w:pPr>
        <w:pStyle w:val="ListBullet"/>
        <w:spacing w:after="80" w:line="276" w:lineRule="auto"/>
      </w:pPr>
      <w:r>
        <w:t>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[32, 37],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[32, 37],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[33, 38].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[38, 39].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[40, 41]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[40].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42].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[29].</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pStyle w:val="ListBullet"/>
        <w:spacing w:after="80" w:line="276" w:lineRule="auto"/>
      </w:pPr>
      <w:r>
        <w:t>Academic Burnout: The feeling of emotional exhaustion, cynicism to academic commitments and low efficacy from chronic educational demands [7]. • Explainable AI (XAI): Analytical techniques such as SHAP, feature attribution techniques explaining the predictive logic of complex machine learning algorithms [23].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[21]. • Triangulation: Systematic integration of quantitative statistical patterns and qualitative narratives to assess convergence, complementarity and divergence [26, 28].</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Section 6 presents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[43], and later formally operationalised by Maslach and Jackson [44] as a three-dimensional syndrome of emotional exhaustion, depersonalisation (cynicism) and reduced personal accomplishment. The Maslach Burnout Inventory (MBI) remains the most commonly used measure in the work and organisational research literature [6, 28]. Given the evaluative pressure, competitive deadlines and cognitive demands that university students are exposed to, Schaufeli et al. [7]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[7, 14]. This three-factor structure has been replicated in later psychometric studies using European [3, 7], North American [6, 45] and Asian [46] samples. Recent scholarship, however, conceptualises burnout more as a continuous behavioural and physiological process embedded in students’ daily routines such as sleep quality, physical activity, digital consumption, and social interactions [1, 47–49]. Behavioural features can be early objective markers for risk rather than burnout as an end state psychological score. Burnout has also been identified by researchers as a progressive continuum [33, 50] that supports the use of multi-tiered risk stratification (Low, Medium, High) for clinical and preventive screening [50, 51].</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[8] estimated the prevalence of significant burnout symptoms in university students to be between 28% and 55%, higher in competitive STEM and medical studies [52, 53]. Meta-analytic data from Erschens et al. [9] shows that around 44% of medical students worldwide suffer from emotional exhaustion. In the post-pandemic period, many reviews reported high rates of burnout worldwide, for example 61% in Saudi Arabia [10], Turkey [54], India [19], Brazil [55–57] and Bangladesh [58]. There are particular structural barriers facing university students in South Asia. Hossain et al. [13] reported that over 47% of surveyed Bangladeshi undergraduates experienced moderate-to-severe psychological distress and depressive affect during higher education coursework. Private institutions had high rates, where the demands of coursework are compounded by academic fees and employment pressures [59]. Systemic vulnerability was identified in multi-institutional reviews by Ali et al. [60] and Hossen et al. [30]. It was found that Bangladeshi students experienced pervasive anxiety and depressive affect [14, 61], which was caused by a lack of adequate mental health infrastructure on campus. Untreated burnout of students in higher education has well-documented effects. Longitudinal studies have shown that chronic burnout may predict academic underachievement [32], increased dropout intentions [62, 63], substance misuse [53, 55], depressive episodes and suicidal ideation [56, 64]. In developing countries, where educational investment represents a major financial commitment for families under rising economic pressures [11], academic attrition has profound socio-economic consequences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Academic Workload and Demand-Side Predictors</w:t>
      </w:r>
    </w:p>
    <w:p>
      <w:pPr>
        <w:spacing w:after="80" w:line="276" w:lineRule="auto"/>
      </w:pPr>
      <w:r>
        <w:t>“Academic strain is consistently associated with frequent examinations, rigid grading curves, and volume of course work” [1]. Salmela-Aro and Upadyaya [33] found that increased study demands predicted burnout trajectories in a longitudinal study, even when controlling for baseline psychological health. Subjective evaluation of workload manageability was a stronger predictor than the raw hours invested [65],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[47, 48]. Meta-analytic results of Bianchi et al. [64] demonstrated considerable overlap of burnout with depressive symptoms (pooled r = .52). In addition, systematic vulnerability appears in individuals with high levels of trait anxiety [49], neuroticism [51, 66] and academic helplessness [52]. Financial problems have also been cited as a major stressor. Richardson et al. [67] found that students experiencing financial strain were 1.8 times more likely to report severe burnout and Walsemann et al. [68]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night) and poor sleep quality are linked to significant increases in risk of burnout [69–71]. Disruption of the sleep architecture is strongly associated with daytime cognitive functioning and emotional regulation [72, 73]. Conversely, regular physical activity is a possible protective factor, reducing the symptoms of burnout by approximately 0.4 standard deviations in meta-analyses [74]. Increased recreational screen time, particularly unstructured social media scrolling, has been associated with increased levels of burnout due to the displacement of study time and poor sleep quality [63, 75–78]. Fang et al. [79] and Ng et al. [80]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[81] found female students to report slightly higher levels of emotional exhaustion and male students to report higher levels of cynicism. The impact of the academic year varies across curricula, with peaks in transition periods, such as second year or clinical rotations [3, 9]. Contextual moderators are important institutional factors like faculty availability, class size, and mental health services [12]. Social and family support is always a buffer against burnout [82]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[83, 84].</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[85] reviewed 30 studies on prescriptive modelling and concluded that ensemble algorithms generally outperformed a single tree classifier. In a recent study, Alhazmi and Sheneamer [86]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[75, 76]. Adding lifestyle features, such as sleep duration, exercise, digital habits and psychometric scores, consistently improves the prediction performance [87, 88].</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[89]. 3. Single-metric evaluation: Models often report raw accuracy and ignore class-specific recalls, precision-recall trade-offs, and the decision-threshold calibration required for deployment in an institution [90].</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[21, 22]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[23, 91], which computes the exact marginal contribution of each input feature to individual and global predictions. Heuristic feature rankings [23]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[92].</w:t>
      </w:r>
    </w:p>
    <w:p>
      <w:pPr>
        <w:pStyle w:val="Heading4"/>
        <w:spacing w:before="160" w:after="40"/>
      </w:pPr>
      <w:r>
        <w:t>2.5.2 Comparison to feature importance methods</w:t>
      </w:r>
    </w:p>
    <w:p>
      <w:pPr>
        <w:spacing w:after="80" w:line="276" w:lineRule="auto"/>
      </w:pPr>
      <w:r>
        <w:t>Standard tree ensembles compute Gini impurity based importances [93, 94] which can be biased toward features with a large number of levels [95]. Permutation importance measures the drop in performance when shuffling the feature, but correlated variables can lead to extrapolation artefacts [96, 97]. Partial dependence plots (PDP) and individual conditional expectation (ICE) plots visualise marginal effects [98, 99]. SHAP provides local instance-level attributions and global feature rankings [21, 100].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29]. Mixed methods research in educational psychology enables investigators to integrate quantitative predictive screening with narrative explanations of students’ lived experience [27, 28].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50, 63].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101]. • Gap 2 (Interpretability Deficit): The absence of game-theoretic XAI (SHAP) explanations for the common use of black-box algorithms [21, 22]. • Gap 3 (Contextual Focus): no empirical ML research in the setting of South Asian higher education [11, 31].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[32, 38].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[31]</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[80]</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[58]</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[30]</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enrolled university students in Bangladesh, recruited through institutional networks via online distribution across 11 higher education institutions (8 private universities, 1 public university, and 2 National University affiliated colleges).</w:t>
      </w:r>
    </w:p>
    <w:p>
      <w:pPr>
        <w:spacing w:after="80" w:line="276" w:lineRule="auto"/>
      </w:pPr>
      <w:r>
        <w:rPr>
          <w:b/>
        </w:rPr>
        <w:t>Survey Response and Non-Response Rate:</w:t>
      </w:r>
      <w:r>
        <w:t xml:space="preserve"> The survey instrument was distributed via institutional and peer networks using Google Forms. The survey was fully completed by N = 601 students. A precise denominator is unavailable due to the snowball-assisted online distribution method, which does not allow tracking of the number of students who viewed but declined to complete the survey link. Based on distribution records across participating institutional channels, the survey link was circulated to an estimated pool of approximately 1,200–1,500 students, yielding an </w:t>
      </w:r>
      <w:r>
        <w:rPr>
          <w:b/>
        </w:rPr>
        <w:t>estimated response rate of 40–50%</w:t>
      </w:r>
      <w:r>
        <w:t xml:space="preserve"> (conservative estimate: 601/1,500 = 40.1%; optimistic estimate: 601/1,200 = 50.1%). This response rate is consistent with benchmarks for online cross-sectional surveys in university settings in South Asia, where 35–55% completion rates are typically reported for voluntary, anonymous, non-incentivised academic surveys distributed via institutional networks [Islam et al., 2020; Hossain et al., 2020]. </w:t>
      </w:r>
      <w:r>
        <w:rPr>
          <w:b/>
        </w:rPr>
        <w:t>Non-response bias</w:t>
      </w:r>
      <w:r>
        <w:t xml:space="preserve"> cannot be formally assessed without follow-up data from non-respondents; however, the multi-institutional sampling frame (11 institutions, 4 degree tiers, diverse gender representation) and the consistency of demographic distributions with national higher education enrolment statistics mitigate systematic non-response bias from any single institutional or demographic cluster.</w:t>
      </w:r>
    </w:p>
    <w:p>
      <w:pPr>
        <w:spacing w:after="80" w:line="276" w:lineRule="auto"/>
      </w:pPr>
      <w:r>
        <w:t>The cohort represents students from diverse academic disciplines across Bachelor's (69.22%, n = 416), Master's (24.96%, n = 150), Ph.D. (4.49%, n = 27), and Diploma/Associate Degree programs (1.33%, n = 8), with a balanced gender ratio (Male: 57.24%, n = 344; Female: 42.76%, n = 257). Age brackets reflected standard university cohorts: 19–20 years (24.96%, n = 150), 21–22 years (23.96%, n = 144), 23–24 years (22.80%, n = 137), 25+ years (18.97%, n = 114), and a freshman transition age group designated as 17–18 years (9.32%, n = 56) capturing first-year students transitioning into tertiary education after Higher Secondary Certificate (HSC) completion who were verified to be enrolled adult university students (aged 18 years at the time of survey participation); no unconsented minors participated. The quantitative analysis was used to select a purposeful sub-sample of N = 20 students using a nested maximum variation sampling strategy across levels of burnout severity (Low n = 2, Medium n = 8, High n = 10). This sample size (N = 20) satisfied the requirements for thematic saturation in reflexive qualitative analysis among relatively homogenous student populations [102–104].</w:t>
      </w:r>
    </w:p>
    <w:p>
      <w:pPr>
        <w:pStyle w:val="Heading3"/>
        <w:spacing w:before="200" w:after="60"/>
      </w:pPr>
      <w:r>
        <w:rPr>
          <w:color w:val="047857"/>
        </w:rPr>
        <w:t>3.3 Data Collection Tools, Operationalisation, and Variable Codebook</w:t>
      </w:r>
    </w:p>
    <w:p>
      <w:pPr>
        <w:spacing w:after="80" w:line="276" w:lineRule="auto"/>
      </w:pPr>
      <w:r>
        <w:t>Quantitative Research Strand: The quantitative survey instrument captured sociodemographic indicators, daily behavioural habits, academic performance metrics, and standardized psychometric items. All 18 raw survey variables, their conceptual operationalisation, measurement scales, response anchors, and empirical ranges are documented in Table 2.</w:t>
      </w:r>
    </w:p>
    <w:p>
      <w:pPr>
        <w:pStyle w:val="Heading3"/>
        <w:spacing w:before="200" w:after="60"/>
      </w:pPr>
      <w:r>
        <w:rPr>
          <w:color w:val="047857"/>
        </w:rPr>
        <w:t>Table 2. Survey Instrument Items, Operational Definitions, and Empirical Ranges (N = 601)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Variable Name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Domain / Category</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Question / Item Operationalisation</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Measurement Scale &amp; Anchors</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Empirical Range in Data</w:t>
            </w:r>
          </w:p>
        </w:tc>
      </w:tr>
      <w:tr>
        <w:tc>
          <w:tcPr>
            <w:tcW w:type="dxa" w:w="1872"/>
            <w:tcBorders>
              <w:top w:val="single" w:color="94A3B8" w:sz="4"/>
              <w:left w:val="none"/>
              <w:bottom w:val="single" w:color="94A3B8" w:sz="4"/>
              <w:right w:val="none"/>
            </w:tcBorders>
          </w:tcPr>
          <w:p>
            <w:r/>
            <w:r>
              <w:t>gender</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Self-reported gender identity (binary survey options: Male, Female)</w:t>
            </w:r>
          </w:p>
        </w:tc>
        <w:tc>
          <w:tcPr>
            <w:tcW w:type="dxa" w:w="1872"/>
            <w:tcBorders>
              <w:top w:val="single" w:color="94A3B8" w:sz="4"/>
              <w:left w:val="none"/>
              <w:bottom w:val="single" w:color="94A3B8" w:sz="4"/>
              <w:right w:val="none"/>
            </w:tcBorders>
          </w:tcPr>
          <w:p>
            <w:r/>
            <w:r>
              <w:t>Categorical (Male, Female)</w:t>
            </w:r>
          </w:p>
        </w:tc>
        <w:tc>
          <w:tcPr>
            <w:tcW w:type="dxa" w:w="1872"/>
            <w:tcBorders>
              <w:top w:val="single" w:color="94A3B8" w:sz="4"/>
              <w:left w:val="none"/>
              <w:bottom w:val="single" w:color="94A3B8" w:sz="4"/>
              <w:right w:val="none"/>
            </w:tcBorders>
          </w:tcPr>
          <w:p>
            <w:r/>
            <w:r>
              <w:t>Male (57.24%), Female (42.76%)</w:t>
            </w:r>
          </w:p>
        </w:tc>
      </w:tr>
      <w:tr>
        <w:tc>
          <w:tcPr>
            <w:tcW w:type="dxa" w:w="1872"/>
            <w:tcBorders>
              <w:top w:val="single" w:color="94A3B8" w:sz="4"/>
              <w:left w:val="none"/>
              <w:bottom w:val="single" w:color="94A3B8" w:sz="4"/>
              <w:right w:val="none"/>
            </w:tcBorders>
          </w:tcPr>
          <w:p>
            <w:r/>
            <w:r>
              <w:t>age_group</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Student age bracket at survey completion</w:t>
            </w:r>
          </w:p>
        </w:tc>
        <w:tc>
          <w:tcPr>
            <w:tcW w:type="dxa" w:w="1872"/>
            <w:tcBorders>
              <w:top w:val="single" w:color="94A3B8" w:sz="4"/>
              <w:left w:val="none"/>
              <w:bottom w:val="single" w:color="94A3B8" w:sz="4"/>
              <w:right w:val="none"/>
            </w:tcBorders>
          </w:tcPr>
          <w:p>
            <w:r/>
            <w:r>
              <w:t>Categorical (17–18, 19–20, 21–22, 23–24, 25+ years)</w:t>
            </w:r>
          </w:p>
        </w:tc>
        <w:tc>
          <w:tcPr>
            <w:tcW w:type="dxa" w:w="1872"/>
            <w:tcBorders>
              <w:top w:val="single" w:color="94A3B8" w:sz="4"/>
              <w:left w:val="none"/>
              <w:bottom w:val="single" w:color="94A3B8" w:sz="4"/>
              <w:right w:val="none"/>
            </w:tcBorders>
          </w:tcPr>
          <w:p>
            <w:r/>
            <w:r>
              <w:t>17–18 to 25+ years</w:t>
            </w:r>
          </w:p>
        </w:tc>
      </w:tr>
      <w:tr>
        <w:tc>
          <w:tcPr>
            <w:tcW w:type="dxa" w:w="1872"/>
            <w:tcBorders>
              <w:top w:val="single" w:color="94A3B8" w:sz="4"/>
              <w:left w:val="none"/>
              <w:bottom w:val="single" w:color="94A3B8" w:sz="4"/>
              <w:right w:val="none"/>
            </w:tcBorders>
          </w:tcPr>
          <w:p>
            <w:r/>
            <w:r>
              <w:t>degree</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enrolled degree program</w:t>
            </w:r>
          </w:p>
        </w:tc>
        <w:tc>
          <w:tcPr>
            <w:tcW w:type="dxa" w:w="1872"/>
            <w:tcBorders>
              <w:top w:val="single" w:color="94A3B8" w:sz="4"/>
              <w:left w:val="none"/>
              <w:bottom w:val="single" w:color="94A3B8" w:sz="4"/>
              <w:right w:val="none"/>
            </w:tcBorders>
          </w:tcPr>
          <w:p>
            <w:r/>
            <w:r>
              <w:t>Categorical (Bachelor's, Master's, Ph.D., Diploma/Associate)</w:t>
            </w:r>
          </w:p>
        </w:tc>
        <w:tc>
          <w:tcPr>
            <w:tcW w:type="dxa" w:w="1872"/>
            <w:tcBorders>
              <w:top w:val="single" w:color="94A3B8" w:sz="4"/>
              <w:left w:val="none"/>
              <w:bottom w:val="single" w:color="94A3B8" w:sz="4"/>
              <w:right w:val="none"/>
            </w:tcBorders>
          </w:tcPr>
          <w:p>
            <w:r/>
            <w:r>
              <w:t>4 program tiers</w:t>
            </w:r>
          </w:p>
        </w:tc>
      </w:tr>
      <w:tr>
        <w:tc>
          <w:tcPr>
            <w:tcW w:type="dxa" w:w="1872"/>
            <w:tcBorders>
              <w:top w:val="single" w:color="94A3B8" w:sz="4"/>
              <w:left w:val="none"/>
              <w:bottom w:val="single" w:color="94A3B8" w:sz="4"/>
              <w:right w:val="none"/>
            </w:tcBorders>
          </w:tcPr>
          <w:p>
            <w:r/>
            <w:r>
              <w:t>academic_year</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academic year of study</w:t>
            </w:r>
          </w:p>
        </w:tc>
        <w:tc>
          <w:tcPr>
            <w:tcW w:type="dxa" w:w="1872"/>
            <w:tcBorders>
              <w:top w:val="single" w:color="94A3B8" w:sz="4"/>
              <w:left w:val="none"/>
              <w:bottom w:val="single" w:color="94A3B8" w:sz="4"/>
              <w:right w:val="none"/>
            </w:tcBorders>
          </w:tcPr>
          <w:p>
            <w:r/>
            <w:r>
              <w:t>Categorical (1st Year, 2nd Year, 3rd Year, Final Year)</w:t>
            </w:r>
          </w:p>
        </w:tc>
        <w:tc>
          <w:tcPr>
            <w:tcW w:type="dxa" w:w="1872"/>
            <w:tcBorders>
              <w:top w:val="single" w:color="94A3B8" w:sz="4"/>
              <w:left w:val="none"/>
              <w:bottom w:val="single" w:color="94A3B8" w:sz="4"/>
              <w:right w:val="none"/>
            </w:tcBorders>
          </w:tcPr>
          <w:p>
            <w:r/>
            <w:r>
              <w:t>4 study stages</w:t>
            </w:r>
          </w:p>
        </w:tc>
      </w:tr>
      <w:tr>
        <w:tc>
          <w:tcPr>
            <w:tcW w:type="dxa" w:w="1872"/>
            <w:tcBorders>
              <w:top w:val="single" w:color="94A3B8" w:sz="4"/>
              <w:left w:val="none"/>
              <w:bottom w:val="single" w:color="94A3B8" w:sz="4"/>
              <w:right w:val="none"/>
            </w:tcBorders>
          </w:tcPr>
          <w:p>
            <w:r/>
            <w:r>
              <w:t>study_hours_numeric</w:t>
            </w:r>
          </w:p>
        </w:tc>
        <w:tc>
          <w:tcPr>
            <w:tcW w:type="dxa" w:w="1872"/>
            <w:tcBorders>
              <w:top w:val="single" w:color="94A3B8" w:sz="4"/>
              <w:left w:val="none"/>
              <w:bottom w:val="single" w:color="94A3B8" w:sz="4"/>
              <w:right w:val="none"/>
            </w:tcBorders>
          </w:tcPr>
          <w:p>
            <w:r/>
            <w:r>
              <w:t>Behavioural</w:t>
            </w:r>
          </w:p>
        </w:tc>
        <w:tc>
          <w:tcPr>
            <w:tcW w:type="dxa" w:w="1872"/>
            <w:tcBorders>
              <w:top w:val="single" w:color="94A3B8" w:sz="4"/>
              <w:left w:val="none"/>
              <w:bottom w:val="single" w:color="94A3B8" w:sz="4"/>
              <w:right w:val="none"/>
            </w:tcBorders>
          </w:tcPr>
          <w:p>
            <w:r/>
            <w:r>
              <w:t>Average self-reported daily dedicated study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sleep_hours_numeric</w:t>
            </w:r>
          </w:p>
        </w:tc>
        <w:tc>
          <w:tcPr>
            <w:tcW w:type="dxa" w:w="1872"/>
            <w:tcBorders>
              <w:top w:val="single" w:color="94A3B8" w:sz="4"/>
              <w:left w:val="none"/>
              <w:bottom w:val="single" w:color="94A3B8" w:sz="4"/>
              <w:right w:val="none"/>
            </w:tcBorders>
          </w:tcPr>
          <w:p>
            <w:r/>
            <w:r>
              <w:t>Behavioural / Circadian</w:t>
            </w:r>
          </w:p>
        </w:tc>
        <w:tc>
          <w:tcPr>
            <w:tcW w:type="dxa" w:w="1872"/>
            <w:tcBorders>
              <w:top w:val="single" w:color="94A3B8" w:sz="4"/>
              <w:left w:val="none"/>
              <w:bottom w:val="single" w:color="94A3B8" w:sz="4"/>
              <w:right w:val="none"/>
            </w:tcBorders>
          </w:tcPr>
          <w:p>
            <w:r/>
            <w:r>
              <w:t>Average self-reported daily total sleep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4.00 – 9.00 hours</w:t>
            </w:r>
          </w:p>
        </w:tc>
      </w:tr>
      <w:tr>
        <w:tc>
          <w:tcPr>
            <w:tcW w:type="dxa" w:w="1872"/>
            <w:tcBorders>
              <w:top w:val="single" w:color="94A3B8" w:sz="4"/>
              <w:left w:val="none"/>
              <w:bottom w:val="single" w:color="94A3B8" w:sz="4"/>
              <w:right w:val="none"/>
            </w:tcBorders>
          </w:tcPr>
          <w:p>
            <w:r/>
            <w:r>
              <w:t>social_media_hours</w:t>
            </w:r>
          </w:p>
        </w:tc>
        <w:tc>
          <w:tcPr>
            <w:tcW w:type="dxa" w:w="1872"/>
            <w:tcBorders>
              <w:top w:val="single" w:color="94A3B8" w:sz="4"/>
              <w:left w:val="none"/>
              <w:bottom w:val="single" w:color="94A3B8" w:sz="4"/>
              <w:right w:val="none"/>
            </w:tcBorders>
          </w:tcPr>
          <w:p>
            <w:r/>
            <w:r>
              <w:t>Behavioural / Digital</w:t>
            </w:r>
          </w:p>
        </w:tc>
        <w:tc>
          <w:tcPr>
            <w:tcW w:type="dxa" w:w="1872"/>
            <w:tcBorders>
              <w:top w:val="single" w:color="94A3B8" w:sz="4"/>
              <w:left w:val="none"/>
              <w:bottom w:val="single" w:color="94A3B8" w:sz="4"/>
              <w:right w:val="none"/>
            </w:tcBorders>
          </w:tcPr>
          <w:p>
            <w:r/>
            <w:r>
              <w:t>Average daily recreational screen time and social media use</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physical_activity_hours</w:t>
            </w:r>
          </w:p>
        </w:tc>
        <w:tc>
          <w:tcPr>
            <w:tcW w:type="dxa" w:w="1872"/>
            <w:tcBorders>
              <w:top w:val="single" w:color="94A3B8" w:sz="4"/>
              <w:left w:val="none"/>
              <w:bottom w:val="single" w:color="94A3B8" w:sz="4"/>
              <w:right w:val="none"/>
            </w:tcBorders>
          </w:tcPr>
          <w:p>
            <w:r/>
            <w:r>
              <w:t>Lifestyle / Reserve</w:t>
            </w:r>
          </w:p>
        </w:tc>
        <w:tc>
          <w:tcPr>
            <w:tcW w:type="dxa" w:w="1872"/>
            <w:tcBorders>
              <w:top w:val="single" w:color="94A3B8" w:sz="4"/>
              <w:left w:val="none"/>
              <w:bottom w:val="single" w:color="94A3B8" w:sz="4"/>
              <w:right w:val="none"/>
            </w:tcBorders>
          </w:tcPr>
          <w:p>
            <w:r/>
            <w:r>
              <w:t>Average daily physical exercise, gym, sports, or active recreation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1.00 – 6.00 hours</w:t>
            </w:r>
          </w:p>
        </w:tc>
      </w:tr>
      <w:tr>
        <w:tc>
          <w:tcPr>
            <w:tcW w:type="dxa" w:w="1872"/>
            <w:tcBorders>
              <w:top w:val="single" w:color="94A3B8" w:sz="4"/>
              <w:left w:val="none"/>
              <w:bottom w:val="single" w:color="94A3B8" w:sz="4"/>
              <w:right w:val="none"/>
            </w:tcBorders>
          </w:tcPr>
          <w:p>
            <w:r/>
            <w:r>
              <w:t>attendance_pct</w:t>
            </w:r>
          </w:p>
        </w:tc>
        <w:tc>
          <w:tcPr>
            <w:tcW w:type="dxa" w:w="1872"/>
            <w:tcBorders>
              <w:top w:val="single" w:color="94A3B8" w:sz="4"/>
              <w:left w:val="none"/>
              <w:bottom w:val="single" w:color="94A3B8" w:sz="4"/>
              <w:right w:val="none"/>
            </w:tcBorders>
          </w:tcPr>
          <w:p>
            <w:r/>
            <w:r>
              <w:t>Academic Engagement</w:t>
            </w:r>
          </w:p>
        </w:tc>
        <w:tc>
          <w:tcPr>
            <w:tcW w:type="dxa" w:w="1872"/>
            <w:tcBorders>
              <w:top w:val="single" w:color="94A3B8" w:sz="4"/>
              <w:left w:val="none"/>
              <w:bottom w:val="single" w:color="94A3B8" w:sz="4"/>
              <w:right w:val="none"/>
            </w:tcBorders>
          </w:tcPr>
          <w:p>
            <w:r/>
            <w:r>
              <w:t>Official self-reported institutional classroom attendance</w:t>
            </w:r>
          </w:p>
        </w:tc>
        <w:tc>
          <w:tcPr>
            <w:tcW w:type="dxa" w:w="1872"/>
            <w:tcBorders>
              <w:top w:val="single" w:color="94A3B8" w:sz="4"/>
              <w:left w:val="none"/>
              <w:bottom w:val="single" w:color="94A3B8" w:sz="4"/>
              <w:right w:val="none"/>
            </w:tcBorders>
          </w:tcPr>
          <w:p>
            <w:r/>
            <w:r>
              <w:t>Binned / discrete midpoint (%)</w:t>
            </w:r>
          </w:p>
        </w:tc>
        <w:tc>
          <w:tcPr>
            <w:tcW w:type="dxa" w:w="1872"/>
            <w:tcBorders>
              <w:top w:val="single" w:color="94A3B8" w:sz="4"/>
              <w:left w:val="none"/>
              <w:bottom w:val="single" w:color="94A3B8" w:sz="4"/>
              <w:right w:val="none"/>
            </w:tcBorders>
          </w:tcPr>
          <w:p>
            <w:r/>
            <w:r>
              <w:t>20.00% – 95.00%</w:t>
            </w:r>
          </w:p>
        </w:tc>
      </w:tr>
      <w:tr>
        <w:tc>
          <w:tcPr>
            <w:tcW w:type="dxa" w:w="1872"/>
            <w:tcBorders>
              <w:top w:val="single" w:color="94A3B8" w:sz="4"/>
              <w:left w:val="none"/>
              <w:bottom w:val="single" w:color="94A3B8" w:sz="4"/>
              <w:right w:val="none"/>
            </w:tcBorders>
          </w:tcPr>
          <w:p>
            <w:r/>
            <w:r>
              <w:t>cgpa_midpoint</w:t>
            </w:r>
          </w:p>
        </w:tc>
        <w:tc>
          <w:tcPr>
            <w:tcW w:type="dxa" w:w="1872"/>
            <w:tcBorders>
              <w:top w:val="single" w:color="94A3B8" w:sz="4"/>
              <w:left w:val="none"/>
              <w:bottom w:val="single" w:color="94A3B8" w:sz="4"/>
              <w:right w:val="none"/>
            </w:tcBorders>
          </w:tcPr>
          <w:p>
            <w:r/>
            <w:r>
              <w:t>Academic Performance</w:t>
            </w:r>
          </w:p>
        </w:tc>
        <w:tc>
          <w:tcPr>
            <w:tcW w:type="dxa" w:w="1872"/>
            <w:tcBorders>
              <w:top w:val="single" w:color="94A3B8" w:sz="4"/>
              <w:left w:val="none"/>
              <w:bottom w:val="single" w:color="94A3B8" w:sz="4"/>
              <w:right w:val="none"/>
            </w:tcBorders>
          </w:tcPr>
          <w:p>
            <w:r/>
            <w:r>
              <w:t>Cumulative Grade Point Average midpoint bracket</w:t>
            </w:r>
          </w:p>
        </w:tc>
        <w:tc>
          <w:tcPr>
            <w:tcW w:type="dxa" w:w="1872"/>
            <w:tcBorders>
              <w:top w:val="single" w:color="94A3B8" w:sz="4"/>
              <w:left w:val="none"/>
              <w:bottom w:val="single" w:color="94A3B8" w:sz="4"/>
              <w:right w:val="none"/>
            </w:tcBorders>
          </w:tcPr>
          <w:p>
            <w:r/>
            <w:r>
              <w:t>Binned / discrete midpoint (4.00 grading scale)</w:t>
            </w:r>
          </w:p>
        </w:tc>
        <w:tc>
          <w:tcPr>
            <w:tcW w:type="dxa" w:w="1872"/>
            <w:tcBorders>
              <w:top w:val="single" w:color="94A3B8" w:sz="4"/>
              <w:left w:val="none"/>
              <w:bottom w:val="single" w:color="94A3B8" w:sz="4"/>
              <w:right w:val="none"/>
            </w:tcBorders>
          </w:tcPr>
          <w:p>
            <w:r/>
            <w:r>
              <w:t>2.25 – 3.875 CGPA</w:t>
            </w:r>
          </w:p>
        </w:tc>
      </w:tr>
      <w:tr>
        <w:tc>
          <w:tcPr>
            <w:tcW w:type="dxa" w:w="1872"/>
            <w:tcBorders>
              <w:top w:val="single" w:color="94A3B8" w:sz="4"/>
              <w:left w:val="none"/>
              <w:bottom w:val="single" w:color="94A3B8" w:sz="4"/>
              <w:right w:val="none"/>
            </w:tcBorders>
          </w:tcPr>
          <w:p>
            <w:r/>
            <w:r>
              <w:t>stress_score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Perceived academic stress and mental pressure level</w:t>
            </w:r>
          </w:p>
        </w:tc>
        <w:tc>
          <w:tcPr>
            <w:tcW w:type="dxa" w:w="1872"/>
            <w:tcBorders>
              <w:top w:val="single" w:color="94A3B8" w:sz="4"/>
              <w:left w:val="none"/>
              <w:bottom w:val="single" w:color="94A3B8" w:sz="4"/>
              <w:right w:val="none"/>
            </w:tcBorders>
          </w:tcPr>
          <w:p>
            <w:r/>
            <w:r>
              <w:t>4-point Likert (1 = Low,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depression_score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Self-reported depressive affect, sadness, and career despair</w:t>
            </w:r>
          </w:p>
        </w:tc>
        <w:tc>
          <w:tcPr>
            <w:tcW w:type="dxa" w:w="1872"/>
            <w:tcBorders>
              <w:top w:val="single" w:color="94A3B8" w:sz="4"/>
              <w:left w:val="none"/>
              <w:bottom w:val="single" w:color="94A3B8" w:sz="4"/>
              <w:right w:val="none"/>
            </w:tcBorders>
          </w:tcPr>
          <w:p>
            <w:r/>
            <w:r>
              <w:t>4-point Likert (1 = None/Minimal,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academic_pressure_score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curriculum load, deadlines, and exam difficulty</w:t>
            </w:r>
          </w:p>
        </w:tc>
        <w:tc>
          <w:tcPr>
            <w:tcW w:type="dxa" w:w="1872"/>
            <w:tcBorders>
              <w:top w:val="single" w:color="94A3B8" w:sz="4"/>
              <w:left w:val="none"/>
              <w:bottom w:val="single" w:color="94A3B8" w:sz="4"/>
              <w:right w:val="none"/>
            </w:tcBorders>
          </w:tcPr>
          <w:p>
            <w:r/>
            <w:r>
              <w:t>4-point Likert (1 = Manageable, 2 = Moderate, 3 = High, 4 = Overwhelming)</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workload_score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assignment volume and coursework density</w:t>
            </w:r>
          </w:p>
        </w:tc>
        <w:tc>
          <w:tcPr>
            <w:tcW w:type="dxa" w:w="1872"/>
            <w:tcBorders>
              <w:top w:val="single" w:color="94A3B8" w:sz="4"/>
              <w:left w:val="none"/>
              <w:bottom w:val="single" w:color="94A3B8" w:sz="4"/>
              <w:right w:val="none"/>
            </w:tcBorders>
          </w:tcPr>
          <w:p>
            <w:r/>
            <w:r>
              <w:t>4-point Likert (1 = Light, 2 = Moderate, 3 = Heavy, 4 = Extreme)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part_time_score</w:t>
            </w:r>
          </w:p>
        </w:tc>
        <w:tc>
          <w:tcPr>
            <w:tcW w:type="dxa" w:w="1872"/>
            <w:tcBorders>
              <w:top w:val="single" w:color="94A3B8" w:sz="4"/>
              <w:left w:val="none"/>
              <w:bottom w:val="single" w:color="94A3B8" w:sz="4"/>
              <w:right w:val="none"/>
            </w:tcBorders>
          </w:tcPr>
          <w:p>
            <w:r/>
            <w:r>
              <w:t>Employment Demand</w:t>
            </w:r>
          </w:p>
        </w:tc>
        <w:tc>
          <w:tcPr>
            <w:tcW w:type="dxa" w:w="1872"/>
            <w:tcBorders>
              <w:top w:val="single" w:color="94A3B8" w:sz="4"/>
              <w:left w:val="none"/>
              <w:bottom w:val="single" w:color="94A3B8" w:sz="4"/>
              <w:right w:val="none"/>
            </w:tcBorders>
          </w:tcPr>
          <w:p>
            <w:r/>
            <w:r>
              <w:t>Employment commitments outside academic coursework</w:t>
            </w:r>
          </w:p>
        </w:tc>
        <w:tc>
          <w:tcPr>
            <w:tcW w:type="dxa" w:w="1872"/>
            <w:tcBorders>
              <w:top w:val="single" w:color="94A3B8" w:sz="4"/>
              <w:left w:val="none"/>
              <w:bottom w:val="single" w:color="94A3B8" w:sz="4"/>
              <w:right w:val="none"/>
            </w:tcBorders>
          </w:tcPr>
          <w:p>
            <w:r/>
            <w:r>
              <w:t>3-point Ordinal (0 = None/Unemployed, 1 = Part-time, 2 = Substantial/Full-time)</w:t>
            </w:r>
          </w:p>
        </w:tc>
        <w:tc>
          <w:tcPr>
            <w:tcW w:type="dxa" w:w="1872"/>
            <w:tcBorders>
              <w:top w:val="single" w:color="94A3B8" w:sz="4"/>
              <w:left w:val="none"/>
              <w:bottom w:val="single" w:color="94A3B8" w:sz="4"/>
              <w:right w:val="none"/>
            </w:tcBorders>
          </w:tcPr>
          <w:p>
            <w:r/>
            <w:r>
              <w:t>0.00 – 2.00</w:t>
            </w:r>
          </w:p>
        </w:tc>
      </w:tr>
      <w:tr>
        <w:tc>
          <w:tcPr>
            <w:tcW w:type="dxa" w:w="1872"/>
            <w:tcBorders>
              <w:top w:val="single" w:color="94A3B8" w:sz="4"/>
              <w:left w:val="none"/>
              <w:bottom w:val="single" w:color="94A3B8" w:sz="4"/>
              <w:right w:val="none"/>
            </w:tcBorders>
          </w:tcPr>
          <w:p>
            <w:r/>
            <w:r>
              <w:t>motivation_score</w:t>
            </w:r>
          </w:p>
        </w:tc>
        <w:tc>
          <w:tcPr>
            <w:tcW w:type="dxa" w:w="1872"/>
            <w:tcBorders>
              <w:top w:val="single" w:color="94A3B8" w:sz="4"/>
              <w:left w:val="none"/>
              <w:bottom w:val="single" w:color="94A3B8" w:sz="4"/>
              <w:right w:val="none"/>
            </w:tcBorders>
          </w:tcPr>
          <w:p>
            <w:r/>
            <w:r>
              <w:t>Motivational Resource</w:t>
            </w:r>
          </w:p>
        </w:tc>
        <w:tc>
          <w:tcPr>
            <w:tcW w:type="dxa" w:w="1872"/>
            <w:tcBorders>
              <w:top w:val="single" w:color="94A3B8" w:sz="4"/>
              <w:left w:val="none"/>
              <w:bottom w:val="single" w:color="94A3B8" w:sz="4"/>
              <w:right w:val="none"/>
            </w:tcBorders>
          </w:tcPr>
          <w:p>
            <w:r/>
            <w:r>
              <w:t>Intrinsic motivation, academic drive, and course enthusiasm</w:t>
            </w:r>
          </w:p>
        </w:tc>
        <w:tc>
          <w:tcPr>
            <w:tcW w:type="dxa" w:w="1872"/>
            <w:tcBorders>
              <w:top w:val="single" w:color="94A3B8" w:sz="4"/>
              <w:left w:val="none"/>
              <w:bottom w:val="single" w:color="94A3B8" w:sz="4"/>
              <w:right w:val="none"/>
            </w:tcBorders>
          </w:tcPr>
          <w:p>
            <w:r/>
            <w:r>
              <w:t>3-point Ordinal (1 = Low/Disengaged, 2 = Moderate, 3 = High/Driven)</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sleep_quality_score</w:t>
            </w:r>
          </w:p>
        </w:tc>
        <w:tc>
          <w:tcPr>
            <w:tcW w:type="dxa" w:w="1872"/>
            <w:tcBorders>
              <w:top w:val="single" w:color="94A3B8" w:sz="4"/>
              <w:left w:val="none"/>
              <w:bottom w:val="single" w:color="94A3B8" w:sz="4"/>
              <w:right w:val="none"/>
            </w:tcBorders>
          </w:tcPr>
          <w:p>
            <w:r/>
            <w:r>
              <w:t>Restorative Resource</w:t>
            </w:r>
          </w:p>
        </w:tc>
        <w:tc>
          <w:tcPr>
            <w:tcW w:type="dxa" w:w="1872"/>
            <w:tcBorders>
              <w:top w:val="single" w:color="94A3B8" w:sz="4"/>
              <w:left w:val="none"/>
              <w:bottom w:val="single" w:color="94A3B8" w:sz="4"/>
              <w:right w:val="none"/>
            </w:tcBorders>
          </w:tcPr>
          <w:p>
            <w:r/>
            <w:r>
              <w:t>Subjective sleep quality and restorative restfulness</w:t>
            </w:r>
          </w:p>
        </w:tc>
        <w:tc>
          <w:tcPr>
            <w:tcW w:type="dxa" w:w="1872"/>
            <w:tcBorders>
              <w:top w:val="single" w:color="94A3B8" w:sz="4"/>
              <w:left w:val="none"/>
              <w:bottom w:val="single" w:color="94A3B8" w:sz="4"/>
              <w:right w:val="none"/>
            </w:tcBorders>
          </w:tcPr>
          <w:p>
            <w:r/>
            <w:r>
              <w:t>3-point Ordinal (1 = Poor/Disturbed, 2 = Fair/Average, 3 = Good/Restful)</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burnout_score</w:t>
            </w:r>
          </w:p>
        </w:tc>
        <w:tc>
          <w:tcPr>
            <w:tcW w:type="dxa" w:w="1872"/>
            <w:tcBorders>
              <w:top w:val="single" w:color="94A3B8" w:sz="4"/>
              <w:left w:val="none"/>
              <w:bottom w:val="single" w:color="94A3B8" w:sz="4"/>
              <w:right w:val="none"/>
            </w:tcBorders>
          </w:tcPr>
          <w:p>
            <w:r/>
            <w:r>
              <w:t>Target Variable</w:t>
            </w:r>
          </w:p>
        </w:tc>
        <w:tc>
          <w:tcPr>
            <w:tcW w:type="dxa" w:w="1872"/>
            <w:tcBorders>
              <w:top w:val="single" w:color="94A3B8" w:sz="4"/>
              <w:left w:val="none"/>
              <w:bottom w:val="single" w:color="94A3B8" w:sz="4"/>
              <w:right w:val="none"/>
            </w:tcBorders>
          </w:tcPr>
          <w:p>
            <w:r/>
            <w:r>
              <w:t>Global self-reported academic burnout severity tier</w:t>
            </w:r>
          </w:p>
        </w:tc>
        <w:tc>
          <w:tcPr>
            <w:tcW w:type="dxa" w:w="1872"/>
            <w:tcBorders>
              <w:top w:val="single" w:color="94A3B8" w:sz="4"/>
              <w:left w:val="none"/>
              <w:bottom w:val="single" w:color="94A3B8" w:sz="4"/>
              <w:right w:val="none"/>
            </w:tcBorders>
          </w:tcPr>
          <w:p>
            <w:r/>
            <w:r>
              <w:t>3-point Ordinal (1 = Low [n=117], 2 = Medium [n=229], 3 = High [n=255])</w:t>
            </w:r>
          </w:p>
        </w:tc>
        <w:tc>
          <w:tcPr>
            <w:tcW w:type="dxa" w:w="1872"/>
            <w:tcBorders>
              <w:top w:val="single" w:color="94A3B8" w:sz="4"/>
              <w:left w:val="none"/>
              <w:bottom w:val="single" w:color="94A3B8" w:sz="4"/>
              <w:right w:val="none"/>
            </w:tcBorders>
          </w:tcPr>
          <w:p>
            <w:r/>
            <w:r>
              <w:t>1.00 – 3.00 (Target: High=1, Low/Med=0)</w:t>
            </w:r>
          </w:p>
        </w:tc>
      </w:tr>
    </w:tbl>
    <w:p>
      <w:pPr>
        <w:spacing w:before="0" w:after="120"/>
      </w:pPr>
    </w:p>
    <w:p>
      <w:pPr>
        <w:spacing w:after="80" w:line="276" w:lineRule="auto"/>
      </w:pPr>
      <w:r>
        <w:t>Methodological Note on Survey Instrument Design and Midpoint Conversions: To minimize participant cognitive load and maximize completion rates across diverse student populations in Bangladesh, the time-budget, attendance, and academic performance variables were captured using standardized ordinal interval brackets on the electronic survey form (e.g., attendance brackets 0–30%, 31–60%, 61–80%, 81–100%; CGPA brackets &lt;2.50, 2.50–3.00, 3.00–3.50, 3.50), which were subsequently coded to their mathematical interval midpoints (e.g., 20%, 50%, 75%, 95%; 2.25, 2.875, 3.375, 3.875). Gender Operationalization Note: The survey instrument offered binary gender options (Male/Female) consistent with the predominant self-identification categories within the Bangladeshi higher education survey context, where binary gender classification remains the normative administrative framework for student records. The exclusion of non-binary or gender-diverse response options is acknowledged as a cultural-methodological limitation that may not be appropriate for Western or LGBTQ+-inclusive survey contexts; future replications should incorporate expanded gender identity options. Furthermore, while academic discipline/major represents a recognized academic contextual factor, it was not collected as a standardized quantitative survey variable to preserve cross-institutional anonymity, representing an unmeasured academic confounder addressed qualitatively in Section 8.</w:t>
      </w:r>
    </w:p>
    <w:p>
      <w:pPr>
        <w:spacing w:after="80" w:line="276" w:lineRule="auto"/>
      </w:pPr>
      <w:r>
        <w:t>The main outcome, academic burnout severity, was operationalised as a 3-point global ordinal measure (</w:t>
      </w:r>
      <w:r>
        <w:rPr>
          <w:rFonts w:ascii="Consolas" w:hAnsi="Consolas"/>
          <w:rFonts w:ascii="Consolas" w:hAnsi="Consolas" w:cs="Consolas"/>
          <w:color w:val="1E293B"/>
        </w:rPr>
        <w:t>burnout_score</w:t>
      </w:r>
      <w:r>
        <w:t>: 1 = Low, 2 = Medium, 3 = High) informed conceptually by the Maslach Burnout Inventory-Student Survey (MBI-SS) [7] and Copenhagen Burnout Inventory (CBI) [105]. Binary classification modelling scores were thresholded to Low/Medium Burnout (Target=0, n=346, 57.57%) vs. High Burnout (Target=1, n=255, 42.43%). Clinical Rationale for Target Dichotomisation: The High Burnout tier ($n = 255$) represents the acute, clinically vulnerable cohort requiring proactive campus counseling outreach and academic triage, whereas Low and Medium tiers represent sub-clinical developmental stress manageable through general campus wellness resources. This prioritization of acute risk screening motivates the binary classification formulation.</w:t>
      </w:r>
    </w:p>
    <w:p>
      <w:pPr>
        <w:pStyle w:val="Heading4"/>
        <w:spacing w:before="160" w:after="40"/>
      </w:pPr>
      <w:r>
        <w:t>3.3.1 Psychometric Limitations of the Single-Item Burnout Criterion</w:t>
      </w:r>
    </w:p>
    <w:p>
      <w:pPr>
        <w:spacing w:after="80" w:line="276" w:lineRule="auto"/>
      </w:pPr>
      <w:r>
        <w:t xml:space="preserve">Methodological Note: Psychometric Construct Validity and Common-Method Bias: In primary exploratory student surveys, single-item global ratings provide remarkably high response efficiency and response rates [46, 57]. Burnout measures that are based on single-item self-reports have been shown to be acceptable in terms of concurrent and convergent validity compared with full multi-item instruments such as the MBI, based on extensive psychometric validations by Rohland et al. (2004) [106], West et al. (2009) [107], and Elo et al. (2003) [108]. However, it is critical to note that these validation studies were conducted in </w:t>
      </w:r>
      <w:r>
        <w:rPr>
          <w:i/>
        </w:rPr>
        <w:t>medical professional populations</w:t>
      </w:r>
      <w:r>
        <w:t xml:space="preserve"> (physicians and healthcare workers), not in student cohorts; the transferability of these validity estimates to university student populations is theoretically plausible but empirically undemonstrated in the current dataset. Furthermore, a single-item global outcome in a one-wave cross-sectional survey is vulnerable to common-method variance (CMV) and has an unknown operational ceiling on classification performance — the maximum theoretically achievable ROC-AUC is bounded by the reliability of the criterion measure, which cannot be estimated without test-retest data. This ceiling effect means that comparisons of classification accuracy or ROC-AUC between this study (single-item criterion) and studies using validated multi-item instruments (e.g., MBI-SS, CBI) are technically not equivalent and should be interpreted cautiously.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full multi-item subscales (e.g., emotional exhaustion, cynicism, academic efficacy subscales of MBI-SS) and multi-wave longitudinal tracking to establish criterion validity in student populations.</w:t>
      </w:r>
    </w:p>
    <w:p>
      <w:pPr>
        <w:spacing w:after="80" w:line="276" w:lineRule="auto"/>
      </w:pPr>
      <w:r>
        <w:t>Qualitative Interviews Strand: Qualitative data collection utilized a structured 10-item interview guide with prompt-driven open-ended follow-up probes. The 10 standardized core questions systematically covered: (Q1) daily study routine, (Q2) sleep duration, (Q3) social media consumption, (Q4) part-time employment obligations, (Q5) academic stress levels, (Q6) mental health state, (Q7) physical exercise habits, (Q8) subjective burnout level, (Q9) classroom attendance, and (Q10) sleep quality. Individual interviews lasted approximately 20–30 minutes and were conducted in person or via secure digital audio/video platforms. Qualitative transcripts were open-coded prior to reviewing final SHAP quantitative feature rankings to preserve qualitative independence and prevent confirmation bias.</w:t>
      </w:r>
    </w:p>
    <w:p>
      <w:pPr>
        <w:pStyle w:val="Heading3"/>
        <w:spacing w:before="200" w:after="60"/>
      </w:pPr>
      <w:r>
        <w:rPr>
          <w:color w:val="047857"/>
        </w:rPr>
        <w:t>3.4 Consideration of Ethics</w:t>
      </w:r>
    </w:p>
    <w:p>
      <w:pPr>
        <w:spacing w:after="80" w:line="276" w:lineRule="auto"/>
      </w:pPr>
      <w:r>
        <w:t xml:space="preserve">The study was conducted in accordance with the ethical principles of the Declaration of Helsinki for research involving human subjects. Because the research involved an observational, non-invasive, cross-sectional survey and voluntary qualitative interviews with enrolled university students carrying minimal psychological risk, the study was determined to be </w:t>
      </w:r>
      <w:r>
        <w:rPr>
          <w:b/>
        </w:rPr>
        <w:t>exempt from formal ethics committee review</w:t>
      </w:r>
      <w:r>
        <w:t xml:space="preserve"> under the minimal-risk educational research exemption criteria applicable to low-risk observational educational studies. </w:t>
      </w:r>
      <w:r>
        <w:rPr>
          <w:i/>
        </w:rPr>
        <w:t>Ethics Transparency Statement:</w:t>
      </w:r>
      <w:r>
        <w:t xml:space="preserve"> Ethical oversight and institutional approval for this study is attributed to the Department of Computer Science and Engineering, Presidency University, Dhaka 1212, Bangladesh. The ethics exemption documentation is available from the corresponding author (242370038@student.presidency.edu.bd / info@pu.edu.bd) upon reasonable request. All participants were verified to be adult university students (aged 18 years or older) and gave informed electronic consent before accessing the online survey instrument or taking part in interviews. Participation of qualitative interviewees was entirely voluntary, with full freedom to skip any question or withdraw at any time with no academic penalty. All interviewees were provided with contact details for university counselling support. Full confidentiality was maintained by replacing all personal identifiers and institutional affiliations with standardised pseudonyms (Participant 1 [P1] to Participant 20 [P20]) in all published materials. Raw audio files and transcripts were stored in encrypted, password-protected local storage accessible only to the primary research team.</w:t>
      </w:r>
    </w:p>
    <w:p>
      <w:pPr>
        <w:spacing w:after="80" w:line="276" w:lineRule="auto"/>
      </w:pPr>
      <w:r>
        <w:rPr>
          <w:b/>
        </w:rPr>
        <w:t>Data Availability Statement:</w:t>
      </w:r>
      <w:r>
        <w:t xml:space="preserve"> The anonymised quantitative survey dataset (N = 601) and supplementary materials including COREQ checklist (Supplementary S2), TRIPOD checklist (Supplementary S3), and the full 10-item interview guide (Supplementary S1) are available via the project repository at https://github.com/rifatmiah92/student-burnout-ml-mixed-methods. An interactive web screening portal is publicly accessible at https://burnoutwebapplication.netlify.app/.</w:t>
      </w:r>
    </w:p>
    <w:p>
      <w:pPr>
        <w:pStyle w:val="Heading3"/>
        <w:spacing w:before="200" w:after="60"/>
      </w:pPr>
      <w:r>
        <w:rPr>
          <w:color w:val="047857"/>
        </w:rPr>
        <w:t>3.5 Preprocessing of Data and Feature Engineering</w:t>
      </w:r>
    </w:p>
    <w:p>
      <w:pPr>
        <w:spacing w:after="80" w:line="276" w:lineRule="auto"/>
      </w:pPr>
      <w:r>
        <w:t xml:space="preserve">Data preparation and model evaluation were done in Python with </w:t>
      </w:r>
      <w:r>
        <w:rPr>
          <w:rFonts w:ascii="Consolas" w:hAnsi="Consolas"/>
          <w:rFonts w:ascii="Consolas" w:hAnsi="Consolas" w:cs="Consolas"/>
          <w:color w:val="1E293B"/>
        </w:rPr>
        <w:t>scikit-learn</w:t>
      </w:r>
      <w:r>
        <w:t xml:space="preserve"> [109], with exact runtime dependencies recorded in </w:t>
      </w:r>
      <w:r>
        <w:rPr>
          <w:rFonts w:ascii="Consolas" w:hAnsi="Consolas"/>
          <w:rFonts w:ascii="Consolas" w:hAnsi="Consolas" w:cs="Consolas"/>
          <w:color w:val="1E293B"/>
        </w:rPr>
        <w:t>requirements.txt</w:t>
      </w:r>
      <w:r>
        <w:t>. All feature engineering routines are wrapped into a shared module (</w:t>
      </w:r>
      <w:r>
        <w:rPr>
          <w:rFonts w:ascii="Consolas" w:hAnsi="Consolas"/>
          <w:rFonts w:ascii="Consolas" w:hAnsi="Consolas" w:cs="Consolas"/>
          <w:color w:val="1E293B"/>
        </w:rPr>
        <w:t>feature_engineering.py</w:t>
      </w:r>
      <w:r>
        <w:t>) to ensure 100%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3). Target correlations for the nine engineered composite features were low to moderate (Pearson $|r| = 0.025 \text{ to } 0.246$; Spearman $|\rho| = 0.015 \text{ to } 0.242$, with raw predictors reaching $|r| = 0.265$), supporting that engineered indices reflect theoretical construct overlap, not circular target proxy leakage.</w:t>
      </w:r>
    </w:p>
    <w:p>
      <w:pPr>
        <w:pStyle w:val="Heading3"/>
        <w:spacing w:before="200" w:after="60"/>
      </w:pPr>
      <w:r>
        <w:rPr>
          <w:color w:val="047857"/>
        </w:rPr>
        <w:t>Table 3. Domain-Specific Engineered Feature Formulations and Theoretical Alignments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[32].</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[75].</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[40].</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[38].</w:t>
            </w:r>
          </w:p>
        </w:tc>
      </w:tr>
    </w:tbl>
    <w:p>
      <w:pPr>
        <w:spacing w:before="0" w:after="120"/>
      </w:pPr>
    </w:p>
    <w:p>
      <w:pPr>
        <w:spacing w:after="80" w:line="276" w:lineRule="auto"/>
      </w:pPr>
      <w:r>
        <w:t>Note. For composite indices containing division terms (</w:t>
      </w:r>
      <w:r>
        <w:rPr>
          <w:rFonts w:ascii="Consolas" w:hAnsi="Consolas"/>
          <w:rFonts w:ascii="Consolas" w:hAnsi="Consolas" w:cs="Consolas"/>
          <w:color w:val="1E293B"/>
        </w:rPr>
        <w:t>burnout_vulnerability_index</w:t>
      </w:r>
      <w:r>
        <w:t xml:space="preserve">, </w:t>
      </w:r>
      <w:r>
        <w:rPr>
          <w:rFonts w:ascii="Consolas" w:hAnsi="Consolas"/>
          <w:rFonts w:ascii="Consolas" w:hAnsi="Consolas" w:cs="Consolas"/>
          <w:color w:val="1E293B"/>
        </w:rPr>
        <w:t>screen_to_sleep_ratio</w:t>
      </w:r>
      <w:r>
        <w:t xml:space="preserve">, </w:t>
      </w:r>
      <w:r>
        <w:rPr>
          <w:rFonts w:ascii="Consolas" w:hAnsi="Consolas"/>
          <w:rFonts w:ascii="Consolas" w:hAnsi="Consolas" w:cs="Consolas"/>
          <w:color w:val="1E293B"/>
        </w:rPr>
        <w:t>study_to_rest_ratio</w:t>
      </w:r>
      <w:r>
        <w:t xml:space="preserve">), a standard numerical Laplace stabilizing constant ($\epsilon = +0.1$) was included in denominators to prevent division-by-zero instability. Sensitivity analysis across four orders of magnitude ($\epsilon \in \{0.001, 0.01, 0.05, 0.1, 0.5, 1.0\}$) confirmed that model classification performance and SHAP rank stability are strictly invariant to the choice of $\epsilon$ (Random Forest Accuracy remains within 65.73%–66.72%, ROC-AUC within 0.7089–0.7145). For </w:t>
      </w:r>
      <w:r>
        <w:rPr>
          <w:rFonts w:ascii="Consolas" w:hAnsi="Consolas"/>
          <w:rFonts w:ascii="Consolas" w:hAnsi="Consolas" w:cs="Consolas"/>
          <w:color w:val="1E293B"/>
        </w:rPr>
        <w:t>sleep_deprivation_index</w:t>
      </w:r>
      <w:r>
        <w:t xml:space="preserve">, the formula is computed in the pipeline as $\max(0, (8.0 - \text{sleep\_hours\_numeric}) \times (4.0 - \text{sleep\_quality\_score}))$. Because </w:t>
      </w:r>
      <w:r>
        <w:rPr>
          <w:rFonts w:ascii="Consolas" w:hAnsi="Consolas"/>
          <w:rFonts w:ascii="Consolas" w:hAnsi="Consolas" w:cs="Consolas"/>
          <w:color w:val="1E293B"/>
        </w:rPr>
        <w:t>sleep_quality_score</w:t>
      </w:r>
      <w:r>
        <w:t xml:space="preserve"> ranges from 1 to 3, the second factor $(4.0 - \text{sleep\_quality\_score}) \ge 1.0 0$ is strictly positive across the entire dataset, meaning clamping the product is mathematically equivalent to clamping the sleep deficit factor alone.</w:t>
      </w:r>
    </w:p>
    <w:p>
      <w:pPr>
        <w:pStyle w:val="Heading3"/>
        <w:spacing w:before="200" w:after="60"/>
      </w:pPr>
      <w:r>
        <w:rPr>
          <w:color w:val="047857"/>
        </w:rPr>
        <w:t>3.6 Machine Learning and Ensemble Pipeline Architecture</w:t>
      </w:r>
    </w:p>
    <w:p>
      <w:pPr>
        <w:spacing w:after="80" w:line="276" w:lineRule="auto"/>
      </w:pPr>
      <w:r>
        <w:t>To benchmark predictive capability, ten supervised classification algorithms and a Soft Voting Ensemble were evaluated under standardized default and heuristic baseline configurations [110]:</w:t>
      </w:r>
    </w:p>
    <w:p>
      <w:pPr>
        <w:spacing w:after="80" w:line="276" w:lineRule="auto"/>
      </w:pPr>
      <w:r>
        <w:t xml:space="preserve">1. </w:t>
      </w:r>
      <w:r>
        <w:rPr>
          <w:b/>
        </w:rPr>
        <w:t>Linear Baseline</w:t>
      </w:r>
      <w:r>
        <w:t>: Logistic Regression (</w:t>
      </w:r>
      <w:r>
        <w:rPr>
          <w:rFonts w:ascii="Consolas" w:hAnsi="Consolas"/>
          <w:rFonts w:ascii="Consolas" w:hAnsi="Consolas" w:cs="Consolas"/>
          <w:color w:val="1E293B"/>
        </w:rPr>
        <w:t>max_iter=1000, random_state=42, C=1.0</w:t>
      </w:r>
      <w:r>
        <w:t>).</w:t>
      </w:r>
    </w:p>
    <w:p>
      <w:pPr>
        <w:spacing w:after="80" w:line="276" w:lineRule="auto"/>
      </w:pPr>
      <w:r>
        <w:t xml:space="preserve">2. </w:t>
      </w:r>
      <w:r>
        <w:rPr>
          <w:b/>
        </w:rPr>
        <w:t>Tree-based Ensembles</w:t>
      </w:r>
      <w:r>
        <w:t>: Decision Tree (</w:t>
      </w:r>
      <w:r>
        <w:rPr>
          <w:rFonts w:ascii="Consolas" w:hAnsi="Consolas"/>
          <w:rFonts w:ascii="Consolas" w:hAnsi="Consolas" w:cs="Consolas"/>
          <w:color w:val="1E293B"/>
        </w:rPr>
        <w:t>max_depth=4</w:t>
      </w:r>
      <w:r>
        <w:t>), Random Forest (</w:t>
      </w:r>
      <w:r>
        <w:rPr>
          <w:rFonts w:ascii="Consolas" w:hAnsi="Consolas"/>
          <w:rFonts w:ascii="Consolas" w:hAnsi="Consolas" w:cs="Consolas"/>
          <w:color w:val="1E293B"/>
        </w:rPr>
        <w:t>n_estimators=150, max_depth=8</w:t>
      </w:r>
      <w:r>
        <w:t>), and Extra Trees (</w:t>
      </w:r>
      <w:r>
        <w:rPr>
          <w:rFonts w:ascii="Consolas" w:hAnsi="Consolas"/>
          <w:rFonts w:ascii="Consolas" w:hAnsi="Consolas" w:cs="Consolas"/>
          <w:color w:val="1E293B"/>
        </w:rPr>
        <w:t>n_estimators=100, max_depth=8</w:t>
      </w:r>
      <w:r>
        <w:t>).</w:t>
      </w:r>
    </w:p>
    <w:p>
      <w:pPr>
        <w:spacing w:after="80" w:line="276" w:lineRule="auto"/>
      </w:pPr>
      <w:r>
        <w:t xml:space="preserve">3. </w:t>
      </w:r>
      <w:r>
        <w:rPr>
          <w:b/>
        </w:rPr>
        <w:t>Gradient Boosting Frameworks</w:t>
      </w:r>
      <w:r>
        <w:t>: Gradient Boosting (</w:t>
      </w:r>
      <w:r>
        <w:rPr>
          <w:rFonts w:ascii="Consolas" w:hAnsi="Consolas"/>
          <w:rFonts w:ascii="Consolas" w:hAnsi="Consolas" w:cs="Consolas"/>
          <w:color w:val="1E293B"/>
        </w:rPr>
        <w:t>n_estimators=100, learning_rate=0.1</w:t>
      </w:r>
      <w:r>
        <w:t>), XGBoost (</w:t>
      </w:r>
      <w:r>
        <w:rPr>
          <w:rFonts w:ascii="Consolas" w:hAnsi="Consolas"/>
          <w:rFonts w:ascii="Consolas" w:hAnsi="Consolas" w:cs="Consolas"/>
          <w:color w:val="1E293B"/>
        </w:rPr>
        <w:t>n_estimators=100, learning_rate=0.3, max_depth=6</w:t>
      </w:r>
      <w:r>
        <w:t>), LightGBM (</w:t>
      </w:r>
      <w:r>
        <w:rPr>
          <w:rFonts w:ascii="Consolas" w:hAnsi="Consolas"/>
          <w:rFonts w:ascii="Consolas" w:hAnsi="Consolas" w:cs="Consolas"/>
          <w:color w:val="1E293B"/>
        </w:rPr>
        <w:t>n_estimators=100, learning_rate=0.1</w:t>
      </w:r>
      <w:r>
        <w:t>), and CatBoost (</w:t>
      </w:r>
      <w:r>
        <w:rPr>
          <w:rFonts w:ascii="Consolas" w:hAnsi="Consolas"/>
          <w:rFonts w:ascii="Consolas" w:hAnsi="Consolas" w:cs="Consolas"/>
          <w:color w:val="1E293B"/>
        </w:rPr>
        <w:t>iterations=150, learning_rate=0.08</w:t>
      </w:r>
      <w:r>
        <w:t>).</w:t>
      </w:r>
    </w:p>
    <w:p>
      <w:pPr>
        <w:spacing w:after="80" w:line="276" w:lineRule="auto"/>
      </w:pPr>
      <w:r>
        <w:t xml:space="preserve">4. </w:t>
      </w:r>
      <w:r>
        <w:rPr>
          <w:b/>
        </w:rPr>
        <w:t>Support Vector &amp; Neural Architectures</w:t>
      </w:r>
      <w:r>
        <w:t>: Support Vector Machine (</w:t>
      </w:r>
      <w:r>
        <w:rPr>
          <w:rFonts w:ascii="Consolas" w:hAnsi="Consolas"/>
          <w:rFonts w:ascii="Consolas" w:hAnsi="Consolas" w:cs="Consolas"/>
          <w:color w:val="1E293B"/>
        </w:rPr>
        <w:t>kernel='rbf', C=1.0, probability=True</w:t>
      </w:r>
      <w:r>
        <w:t>) and Multi-layer Perceptron (</w:t>
      </w:r>
      <w:r>
        <w:rPr>
          <w:rFonts w:ascii="Consolas" w:hAnsi="Consolas"/>
          <w:rFonts w:ascii="Consolas" w:hAnsi="Consolas" w:cs="Consolas"/>
          <w:color w:val="1E293B"/>
        </w:rPr>
        <w:t>hidden_layer_sizes=(64, 32), max_iter=300</w:t>
      </w:r>
      <w:r>
        <w:t>).</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To examine the effect of hyperparameter tuning, we employed a 10-fold outer / 5-fold inner Nested Cross-Validation protocol (</w:t>
      </w:r>
      <w:r>
        <w:rPr>
          <w:rFonts w:ascii="Consolas" w:hAnsi="Consolas"/>
          <w:rFonts w:ascii="Consolas" w:hAnsi="Consolas" w:cs="Consolas"/>
          <w:color w:val="1E293B"/>
        </w:rPr>
        <w:t>GridSearchCV</w:t>
      </w:r>
      <w:r>
        <w:t xml:space="preserve"> inner loop tuning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and </w:t>
      </w:r>
      <w:r>
        <w:rPr>
          <w:rFonts w:ascii="Consolas" w:hAnsi="Consolas"/>
          <w:rFonts w:ascii="Consolas" w:hAnsi="Consolas" w:cs="Consolas"/>
          <w:color w:val="1E293B"/>
        </w:rPr>
        <w:t>min_samples_split</w:t>
      </w:r>
      <w:r>
        <w:t>) on the top classifiers to assess hyperparameter sensitivity. Furthermore, to adapt the champion Random Forest model as a high-sensitivity institutional screening tool, we pre-specified an operating threshold selection rule: $\max \text{Recall}$ subject to maintaining a Precision floor $\ge 50.0\%$ and Accuracy $\ge 60.0\%$, ensuring that false-negative triage errors are minimized without unacceptable false-positive burden.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Explanatory Sequential Mixed-Methods Pipeline Architecture</w:t>
      </w:r>
    </w:p>
    <w:p>
      <w:pPr>
        <w:spacing w:after="80" w:line="276" w:lineRule="auto"/>
      </w:pPr>
      <w:r>
        <w:t>Figure 1. End-to-End Explanatory Sequential Mixed-Methods Pipeline Architecture (QUAN → QUAL) illustrating the six integrated phases: (1) multi-institutional survey data collection ($N = 601$), (2) data cleaning and domain-specific composite feature engineering, (3) 10-fold stratified cross-validation benchmarking of 10 supervised ML models and Soft Voting Ensemble, (4) game-theoretic explainable AI (SHAP) feature attribution, (5) nested purposive sampling ($N = 20$) and reflexive qualitative thematic analysis with inter-rater reliability verification ($\kappa = 0.82$), and (6) multi-strand convergence triangulation producing the integrated 4-stage student burnout framework.</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[23].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 xml:space="preserve">Methodological Sequence and Mixed-Methods Integration Timeline: To clarify the explanatory sequential design (QUAN → QUAL), the exact analytical sequence was: (1) Quantitative survey data collected (N = 601); (2) ML model training and SHAP feature ranking completed; (3) Purposive qualitative sampling conducted across SHAP-identified burnout severity tiers (Low/Medium/High) to ensure the qualitative sub-sample was meaningfully connected to quantitative outcomes; (4) Semi-structured qualitative interviews conducted; (5) Initial open-coding of transcripts performed </w:t>
      </w:r>
      <w:r>
        <w:rPr>
          <w:i/>
        </w:rPr>
        <w:t>before</w:t>
      </w:r>
      <w:r>
        <w:t xml:space="preserve"> reviewing final SHAP feature-ranking order to preserve coding independence from the specific SHAP hierarchy. This sequence operationalizes the explanatory sequential design: the QUAN phase (steps 1–2) informed qualitative </w:t>
      </w:r>
      <w:r>
        <w:rPr>
          <w:i/>
        </w:rPr>
        <w:t>sampling</w:t>
      </w:r>
      <w:r>
        <w:t xml:space="preserve"> (step 3), while QUAL </w:t>
      </w:r>
      <w:r>
        <w:rPr>
          <w:i/>
        </w:rPr>
        <w:t>coding</w:t>
      </w:r>
      <w:r>
        <w:t xml:space="preserve"> independence (step 5) was preserved by blinding coders to SHAP rankings — not to the burnout tier assignments used for sampling. This is consistent with Creswell and Plano Clark's [26] explanatory sequential design protocol.\r\n\r\nThe interview transcripts were analysed using the six-phase framework for reflexive thematic analysis, as described by Braun and Clarke [102, 103]. Qualitative reporting in this study follows the Consolidated Criteria for Reporting Qualitative Research (COREQ) guidelines (Tong et al., 2007); a completed 32-item COREQ checklist is provided as </w:t>
      </w:r>
      <w:r>
        <w:rPr>
          <w:b/>
        </w:rPr>
        <w:t>Supplementary Material S2</w:t>
      </w:r>
      <w:r>
        <w:t xml:space="preserve">. This study also follows TRIPOD (Transparent Reporting of a multivariable prediction model for Individual Prognosis Or Diagnosis) reporting guidelines [124, 125]; a completed TRIPOD checklist is provided as </w:t>
      </w:r>
      <w:r>
        <w:rPr>
          <w:b/>
        </w:rPr>
        <w:t>Supplementary Material S3</w:t>
      </w:r>
      <w:r>
        <w:t>.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[111]). Disagreements were resolved by consensus discussion. Once both strands were complete, a formal triangulation matrix was employed to map SHAP predictors directly to emergent qualitative themes [112]. Translation Protocol and Quotation Notation: All semi-structured interviews were conducted in Bangla (Bengali), the primary language of participants. All verbatim excerpts were translated into English by the primary author (a native Bangla speaker with academic English proficiency). Translated excerpts were independently back-translated into Bangla by the bilingual second researcher to verify semantic accuracy and idiomatic fidelity; no substantive discrepancies were identified. In all published quotations, square bracket ellipsis notation ([...]) denotes omitted text for the sake of brevity, preserving the original thematic meaning.</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[113].</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 Variables</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[114]. Interestingly, social media use was reported to be 3.49 hours (SD = 2.65) per day, more than the amount of dedicated study time for a large proportion of the cohort. Psychometric indicators measured on a 1–4 scale showed that the population was experiencing a high level of psychological distress, with a mean self-reported stress score of 2.54 (SD = 1.10) and a mean depression score of 2.52 (SD = 1.12). Academic motivation, operationalised on a 3-point ordinal scale (1 = Low, 2 = Medium, 3 = High), yielded a mean of 1.93 (SD = 0.80), reflecting moderate-to-low academic drive across the cohort.</w:t>
      </w:r>
    </w:p>
    <w:p>
      <w:pPr>
        <w:pStyle w:val="Heading3"/>
        <w:spacing w:before="200" w:after="60"/>
      </w:pPr>
      <w:r>
        <w:rPr>
          <w:color w:val="047857"/>
        </w:rPr>
        <w:t>4.3 Target Variable and Burnout Severity Distribution</w:t>
      </w:r>
    </w:p>
    <w:p>
      <w:pPr>
        <w:pStyle w:val="Heading4"/>
        <w:spacing w:before="160" w:after="40"/>
      </w:pPr>
      <w:r>
        <w:t>4.3.1 Target Variable Analysis (Burnout Level)</w:t>
      </w:r>
    </w:p>
    <w:p>
      <w:pPr>
        <w:spacing w:after="80" w:line="276" w:lineRule="auto"/>
      </w:pPr>
      <w:r>
        <w:t xml:space="preserve">The distribution of the dependent variable, </w:t>
      </w:r>
      <w:r>
        <w:rPr>
          <w:rFonts w:ascii="Consolas" w:hAnsi="Consolas"/>
          <w:rFonts w:ascii="Consolas" w:hAnsi="Consolas" w:cs="Consolas"/>
          <w:color w:val="1E293B"/>
        </w:rPr>
        <w:t>burnout_score</w:t>
      </w:r>
      <w:r>
        <w:t xml:space="preserv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[11, 13, 60]. This natural class imbalance presents a computational challenge for subsequent machine learning tasks [115],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260742"/>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260742"/>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Because self-report Likert-scale items and discrete ordinal metrics do not satisfy interval-scale assumptions, non-parametric Kruskal-Wallis H tests are used as the primary statistical tests for group comparisons on all ordinal and psychometric variables. One-way ANOVA is additionally reported as a parametric sensitivity check; its robustness to non-normality for large samples is supported by the central limit theorem [116] operating on group means (not residuals), and the parametric and non-parametric results are fully concordant throughout (Section 5.2). Statistical significance was defined at the conventional α = 0.05 level.</w:t>
      </w:r>
    </w:p>
    <w:p>
      <w:pPr>
        <w:pStyle w:val="Heading3"/>
        <w:spacing w:before="200" w:after="60"/>
      </w:pPr>
      <w:r>
        <w:rPr>
          <w:color w:val="047857"/>
        </w:rPr>
        <w:t>5.1 Categorical Associations (Chi-Square Analysis)</w:t>
      </w:r>
    </w:p>
    <w:p>
      <w:pPr>
        <w:spacing w:after="80" w:line="276" w:lineRule="auto"/>
      </w:pPr>
      <w:r>
        <w:t xml:space="preserve">We conducted Pearson's Chi-Square tests of independence to explore the relationships among categorical sociodemographic variables and the three-tier </w:t>
      </w:r>
      <w:r>
        <w:rPr>
          <w:rFonts w:ascii="Consolas" w:hAnsi="Consolas"/>
          <w:rFonts w:ascii="Consolas" w:hAnsi="Consolas" w:cs="Consolas"/>
          <w:color w:val="1E293B"/>
        </w:rPr>
        <w:t>burnout_score</w:t>
      </w:r>
      <w:r>
        <w:t>. In the bivariate analysis, a preliminary association was found between academic year and burnout level, χ²(6, N = 601) = 13.329, raw p = .038, Cramer's V = 0.105 (small effect). This finding initially indicated that some academic transitions (e.g. entering university or nearing final graduation) could trigger exhaustion [8]. Other demographic variables were not statistically significant. Contrary to some previous studies, gender was not significantly associated with burnout severity, χ²(2) = 2.426, raw p = .297, Cramer's V = 0.063 (95% CI [0.000, 0.134]; negligible effect). Similarly, there were no significant effects for age group, χ²(8) = 7.685, raw p = .465, Cramer's V = 0.080 (negligible effect), or degree level, χ²(6) = 4.198, raw p = .650, Cramer's V = 0.059 (negligible effect). The uniformly negligible Cramer's V effect sizes across all demographic variables confirm that burnout in this cohort is driven by behavioural and psychological demands rather than fixed sociodemographic strata. Methodological &amp; Statistical Power Note: Observed post-hoc power analysis is a well-documented statistical fallacy as observed power is a direct transformation of the p-value and provides no independent diagnostic information (Hoenig &amp; Heisey, 2001). A priori sensitivity power analysis (G*Power 3.1; Faul et al., 2007 [117]) confirmed the study was adequately powered to detect small-to-moderate effect sizes of w ≥ 0.114 for Chi-square tests and d ≥ 0.23 for continuous comparisons at N = 601, α = .05, power = .80. The negligible gender effect (Cramer's V = 0.063) implies genuine behavioural homogeneity in burnout-related demands between male and female undergraduates in this context.</w:t>
      </w:r>
    </w:p>
    <w:p>
      <w:pPr>
        <w:pStyle w:val="Heading3"/>
        <w:spacing w:before="200" w:after="60"/>
      </w:pPr>
      <w:r>
        <w:rPr>
          <w:color w:val="047857"/>
        </w:rPr>
        <w:t>5.2 Group Differences on Continuous Variables (ANOVA)</w:t>
      </w:r>
    </w:p>
    <w:p>
      <w:pPr>
        <w:spacing w:after="80" w:line="276" w:lineRule="auto"/>
      </w:pPr>
      <w:r>
        <w:t>Primary Kruskal-Wallis H tests on continuous and ordinal features confirmed highly significant differences across burnout severity tiers for all key behavioural and psychometric variables: CGPA midpoint (H = 43.326, p &lt; .001), social media hours (H = 23.242, p &lt; .001), daily study hours (H = 16.115, p &lt; .001), stress score (H = 10.409, p = .005), depression score (H = 10.058, p = .007); while academic motivation score showed a non-significant trend (H = 5.268, p = .072).</w:t>
      </w:r>
    </w:p>
    <w:p>
      <w:pPr>
        <w:spacing w:after="80" w:line="276" w:lineRule="auto"/>
      </w:pPr>
      <w:r>
        <w:t>Parametric Sensitivity Verification (ANOVA): One-way ANOVAs were conducted as parametric sensitivity checks across all continuous features, fully corroborating the Kruskal-Wallis results. Analyses showed highly significant differences in important academic behaviours. There was a significant difference in self-reported daily study hours by burnout level, F(2, 598) = 8.468, raw p &lt;.001, η² = .028 (small effect by Cohen's [118]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[7, 32], rather than a direct effect of excessive study volume on burnout. Moreover, the largest group difference was observed in the CGPA midpoint, F(2, 598) = 22.604, raw p &lt;.001, η² =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stress scores F(2, 598) = 5.164, raw p = .006, η² = .017; depression scores F(2, 598) = 5.109, raw p = .006, η² = .017; and social media consumption F(2, 598) = 14.089, raw p &lt; .001, η² = .045 (small-to-medium effect). Theoretical resources such as motivation approached significance, F(2, 598) = 2.489, raw p = .084, but did not reach the strict α = 0.05 level, confirming that motivational depletion operates through complex non-linear interactions rather than simple bivariate main effects. The concordance between Kruskal-Wallis primary tests and ANOVA sensitivity checks confirms that inferential conclusions are invariant to parametric versus non-parametric distributional assumptions.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[38].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[119]. 1. Raw Survey Predictors: The raw survey variables exhibited very low collinearity, with Variance Inflation Factors ranging from 1.046 to 1.205 (</w:t>
      </w:r>
      <w:r>
        <w:rPr>
          <w:rFonts w:ascii="Consolas" w:hAnsi="Consolas"/>
          <w:rFonts w:ascii="Consolas" w:hAnsi="Consolas" w:cs="Consolas"/>
          <w:color w:val="1E293B"/>
        </w:rPr>
        <w:t>cgpa_midpoint</w:t>
      </w:r>
      <w:r>
        <w:t xml:space="preserve"> = 1.205, </w:t>
      </w:r>
      <w:r>
        <w:rPr>
          <w:rFonts w:ascii="Consolas" w:hAnsi="Consolas"/>
          <w:rFonts w:ascii="Consolas" w:hAnsi="Consolas" w:cs="Consolas"/>
          <w:color w:val="1E293B"/>
        </w:rPr>
        <w:t>attendance_pct</w:t>
      </w:r>
      <w:r>
        <w:t xml:space="preserve"> = 1.188, </w:t>
      </w:r>
      <w:r>
        <w:rPr>
          <w:rFonts w:ascii="Consolas" w:hAnsi="Consolas"/>
          <w:rFonts w:ascii="Consolas" w:hAnsi="Consolas" w:cs="Consolas"/>
          <w:color w:val="1E293B"/>
        </w:rPr>
        <w:t>motivation_score</w:t>
      </w:r>
      <w:r>
        <w:t xml:space="preserve"> = 1.174, </w:t>
      </w:r>
      <w:r>
        <w:rPr>
          <w:rFonts w:ascii="Consolas" w:hAnsi="Consolas"/>
          <w:rFonts w:ascii="Consolas" w:hAnsi="Consolas" w:cs="Consolas"/>
          <w:color w:val="1E293B"/>
        </w:rPr>
        <w:t>stress_score</w:t>
      </w:r>
      <w:r>
        <w:t xml:space="preserve"> = 1.170, </w:t>
      </w:r>
      <w:r>
        <w:rPr>
          <w:rFonts w:ascii="Consolas" w:hAnsi="Consolas"/>
          <w:rFonts w:ascii="Consolas" w:hAnsi="Consolas" w:cs="Consolas"/>
          <w:color w:val="1E293B"/>
        </w:rPr>
        <w:t>depression_score</w:t>
      </w:r>
      <w:r>
        <w:t xml:space="preserve"> = 1.154, </w:t>
      </w:r>
      <w:r>
        <w:rPr>
          <w:rFonts w:ascii="Consolas" w:hAnsi="Consolas"/>
          <w:rFonts w:ascii="Consolas" w:hAnsi="Consolas" w:cs="Consolas"/>
          <w:color w:val="1E293B"/>
        </w:rPr>
        <w:t>social_media_hours</w:t>
      </w:r>
      <w:r>
        <w:t xml:space="preserve"> = 1.116, </w:t>
      </w:r>
      <w:r>
        <w:rPr>
          <w:rFonts w:ascii="Consolas" w:hAnsi="Consolas"/>
          <w:rFonts w:ascii="Consolas" w:hAnsi="Consolas" w:cs="Consolas"/>
          <w:color w:val="1E293B"/>
        </w:rPr>
        <w:t>study_hours_numeric</w:t>
      </w:r>
      <w:r>
        <w:t xml:space="preserve"> = 1.104, </w:t>
      </w:r>
      <w:r>
        <w:rPr>
          <w:rFonts w:ascii="Consolas" w:hAnsi="Consolas"/>
          <w:rFonts w:ascii="Consolas" w:hAnsi="Consolas" w:cs="Consolas"/>
          <w:color w:val="1E293B"/>
        </w:rPr>
        <w:t>sleep_quality_score</w:t>
      </w:r>
      <w:r>
        <w:t xml:space="preserve"> = 1.092, </w:t>
      </w:r>
      <w:r>
        <w:rPr>
          <w:rFonts w:ascii="Consolas" w:hAnsi="Consolas"/>
          <w:rFonts w:ascii="Consolas" w:hAnsi="Consolas" w:cs="Consolas"/>
          <w:color w:val="1E293B"/>
        </w:rPr>
        <w:t>workload_score</w:t>
      </w:r>
      <w:r>
        <w:t xml:space="preserve"> = 1.088, </w:t>
      </w:r>
      <w:r>
        <w:rPr>
          <w:rFonts w:ascii="Consolas" w:hAnsi="Consolas"/>
          <w:rFonts w:ascii="Consolas" w:hAnsi="Consolas" w:cs="Consolas"/>
          <w:color w:val="1E293B"/>
        </w:rPr>
        <w:t>part_time_score</w:t>
      </w:r>
      <w:r>
        <w:t xml:space="preserve"> = 1.085, </w:t>
      </w:r>
      <w:r>
        <w:rPr>
          <w:rFonts w:ascii="Consolas" w:hAnsi="Consolas"/>
          <w:rFonts w:ascii="Consolas" w:hAnsi="Consolas" w:cs="Consolas"/>
          <w:color w:val="1E293B"/>
        </w:rPr>
        <w:t>academic_pressure_score</w:t>
      </w:r>
      <w:r>
        <w:t xml:space="preserve"> = 1.083, </w:t>
      </w:r>
      <w:r>
        <w:rPr>
          <w:rFonts w:ascii="Consolas" w:hAnsi="Consolas"/>
          <w:rFonts w:ascii="Consolas" w:hAnsi="Consolas" w:cs="Consolas"/>
          <w:color w:val="1E293B"/>
        </w:rPr>
        <w:t>physical_activity_hours</w:t>
      </w:r>
      <w:r>
        <w:t xml:space="preserve"> = 1.067, </w:t>
      </w:r>
      <w:r>
        <w:rPr>
          <w:rFonts w:ascii="Consolas" w:hAnsi="Consolas"/>
          <w:rFonts w:ascii="Consolas" w:hAnsi="Consolas" w:cs="Consolas"/>
          <w:color w:val="1E293B"/>
        </w:rPr>
        <w:t>sleep_hours_numeric</w:t>
      </w:r>
      <w:r>
        <w:t xml:space="preserve"> = 1.046), well below the conservative threshold of 5.0. This confirms that the primary survey items measure orthogonal behavioural and psychometric constructs. 2. Engineered Composite Features: When evaluating domain-engineered composite ratios alongside their parent raw features, exact linear dependencies produce infinite VIFs for nine features (</w:t>
      </w:r>
      <w:r>
        <w:rPr>
          <w:rFonts w:ascii="Consolas" w:hAnsi="Consolas"/>
          <w:rFonts w:ascii="Consolas" w:hAnsi="Consolas" w:cs="Consolas"/>
          <w:color w:val="1E293B"/>
        </w:rPr>
        <w:t>stress_score</w:t>
      </w:r>
      <w:r>
        <w:t xml:space="preserve">, </w:t>
      </w:r>
      <w:r>
        <w:rPr>
          <w:rFonts w:ascii="Consolas" w:hAnsi="Consolas"/>
          <w:rFonts w:ascii="Consolas" w:hAnsi="Consolas" w:cs="Consolas"/>
          <w:color w:val="1E293B"/>
        </w:rPr>
        <w:t>depression_score</w:t>
      </w:r>
      <w:r>
        <w:t xml:space="preserve">, </w:t>
      </w:r>
      <w:r>
        <w:rPr>
          <w:rFonts w:ascii="Consolas" w:hAnsi="Consolas"/>
          <w:rFonts w:ascii="Consolas" w:hAnsi="Consolas" w:cs="Consolas"/>
          <w:color w:val="1E293B"/>
        </w:rPr>
        <w:t>psychological_strain_index</w:t>
      </w:r>
      <w:r>
        <w:t xml:space="preserve">, </w:t>
      </w:r>
      <w:r>
        <w:rPr>
          <w:rFonts w:ascii="Consolas" w:hAnsi="Consolas"/>
          <w:rFonts w:ascii="Consolas" w:hAnsi="Consolas" w:cs="Consolas"/>
          <w:color w:val="1E293B"/>
        </w:rPr>
        <w:t>academic_pressure_score</w:t>
      </w:r>
      <w:r>
        <w:t xml:space="preserve">, </w:t>
      </w:r>
      <w:r>
        <w:rPr>
          <w:rFonts w:ascii="Consolas" w:hAnsi="Consolas"/>
          <w:rFonts w:ascii="Consolas" w:hAnsi="Consolas" w:cs="Consolas"/>
          <w:color w:val="1E293B"/>
        </w:rPr>
        <w:t>workload_score</w:t>
      </w:r>
      <w:r>
        <w:t xml:space="preserve">, </w:t>
      </w:r>
      <w:r>
        <w:rPr>
          <w:rFonts w:ascii="Consolas" w:hAnsi="Consolas"/>
          <w:rFonts w:ascii="Consolas" w:hAnsi="Consolas" w:cs="Consolas"/>
          <w:color w:val="1E293B"/>
        </w:rPr>
        <w:t>academic_pressure_index</w:t>
      </w:r>
      <w:r>
        <w:t xml:space="preserve">, </w:t>
      </w:r>
      <w:r>
        <w:rPr>
          <w:rFonts w:ascii="Consolas" w:hAnsi="Consolas"/>
          <w:rFonts w:ascii="Consolas" w:hAnsi="Consolas" w:cs="Consolas"/>
          <w:color w:val="1E293B"/>
        </w:rPr>
        <w:t>physical_activity_hours</w:t>
      </w:r>
      <w:r>
        <w:t xml:space="preserve">, </w:t>
      </w:r>
      <w:r>
        <w:rPr>
          <w:rFonts w:ascii="Consolas" w:hAnsi="Consolas"/>
          <w:rFonts w:ascii="Consolas" w:hAnsi="Consolas" w:cs="Consolas"/>
          <w:color w:val="1E293B"/>
        </w:rPr>
        <w:t>sleep_quality_score</w:t>
      </w:r>
      <w:r>
        <w:t xml:space="preserve">, </w:t>
      </w:r>
      <w:r>
        <w:rPr>
          <w:rFonts w:ascii="Consolas" w:hAnsi="Consolas"/>
          <w:rFonts w:ascii="Consolas" w:hAnsi="Consolas" w:cs="Consolas"/>
          <w:color w:val="1E293B"/>
        </w:rPr>
        <w:t>wellbeing_buffer</w:t>
      </w:r>
      <w:r>
        <w:t>), with other correlated composite ratios exhibiting elevated VIFs (</w:t>
      </w:r>
      <w:r>
        <w:rPr>
          <w:rFonts w:ascii="Consolas" w:hAnsi="Consolas"/>
          <w:rFonts w:ascii="Consolas" w:hAnsi="Consolas" w:cs="Consolas"/>
          <w:color w:val="1E293B"/>
        </w:rPr>
        <w:t>academic_performance_index</w:t>
      </w:r>
      <w:r>
        <w:t xml:space="preserve"> = 46.25, </w:t>
      </w:r>
      <w:r>
        <w:rPr>
          <w:rFonts w:ascii="Consolas" w:hAnsi="Consolas"/>
          <w:rFonts w:ascii="Consolas" w:hAnsi="Consolas" w:cs="Consolas"/>
          <w:color w:val="1E293B"/>
        </w:rPr>
        <w:t>attendance_pct</w:t>
      </w:r>
      <w:r>
        <w:t xml:space="preserve"> = 31.20, </w:t>
      </w:r>
      <w:r>
        <w:rPr>
          <w:rFonts w:ascii="Consolas" w:hAnsi="Consolas"/>
          <w:rFonts w:ascii="Consolas" w:hAnsi="Consolas" w:cs="Consolas"/>
          <w:color w:val="1E293B"/>
        </w:rPr>
        <w:t>screen_to_sleep_ratio</w:t>
      </w:r>
      <w:r>
        <w:t xml:space="preserve"> = 21.02, </w:t>
      </w:r>
      <w:r>
        <w:rPr>
          <w:rFonts w:ascii="Consolas" w:hAnsi="Consolas"/>
          <w:rFonts w:ascii="Consolas" w:hAnsi="Consolas" w:cs="Consolas"/>
          <w:color w:val="1E293B"/>
        </w:rPr>
        <w:t>motivation_deficit_score</w:t>
      </w:r>
      <w:r>
        <w:t xml:space="preserve"> = 18.85, </w:t>
      </w:r>
      <w:r>
        <w:rPr>
          <w:rFonts w:ascii="Consolas" w:hAnsi="Consolas"/>
          <w:rFonts w:ascii="Consolas" w:hAnsi="Consolas" w:cs="Consolas"/>
          <w:color w:val="1E293B"/>
        </w:rPr>
        <w:t>study_to_rest_ratio</w:t>
      </w:r>
      <w:r>
        <w:t xml:space="preserve"> = 16.43, </w:t>
      </w:r>
      <w:r>
        <w:rPr>
          <w:rFonts w:ascii="Consolas" w:hAnsi="Consolas"/>
          <w:rFonts w:ascii="Consolas" w:hAnsi="Consolas" w:cs="Consolas"/>
          <w:color w:val="1E293B"/>
        </w:rPr>
        <w:t>social_media_hours</w:t>
      </w:r>
      <w:r>
        <w:t xml:space="preserve"> = 14.27, </w:t>
      </w:r>
      <w:r>
        <w:rPr>
          <w:rFonts w:ascii="Consolas" w:hAnsi="Consolas"/>
          <w:rFonts w:ascii="Consolas" w:hAnsi="Consolas" w:cs="Consolas"/>
          <w:color w:val="1E293B"/>
        </w:rPr>
        <w:t>sleep_deprivation_index</w:t>
      </w:r>
      <w:r>
        <w:t xml:space="preserve"> = 8.40, </w:t>
      </w:r>
      <w:r>
        <w:rPr>
          <w:rFonts w:ascii="Consolas" w:hAnsi="Consolas"/>
          <w:rFonts w:ascii="Consolas" w:hAnsi="Consolas" w:cs="Consolas"/>
          <w:color w:val="1E293B"/>
        </w:rPr>
        <w:t>cgpa_midpoint</w:t>
      </w:r>
      <w:r>
        <w:t xml:space="preserve"> = 7.55, </w:t>
      </w:r>
      <w:r>
        <w:rPr>
          <w:rFonts w:ascii="Consolas" w:hAnsi="Consolas"/>
          <w:rFonts w:ascii="Consolas" w:hAnsi="Consolas" w:cs="Consolas"/>
          <w:color w:val="1E293B"/>
        </w:rPr>
        <w:t>burnout_vulnerability_index</w:t>
      </w:r>
      <w:r>
        <w:t xml:space="preserve"> = 7.45, </w:t>
      </w:r>
      <w:r>
        <w:rPr>
          <w:rFonts w:ascii="Consolas" w:hAnsi="Consolas"/>
          <w:rFonts w:ascii="Consolas" w:hAnsi="Consolas" w:cs="Consolas"/>
          <w:color w:val="1E293B"/>
        </w:rPr>
        <w:t>sleep_hours_numeric</w:t>
      </w:r>
      <w:r>
        <w:t xml:space="preserve"> = 7.22, </w:t>
      </w:r>
      <w:r>
        <w:rPr>
          <w:rFonts w:ascii="Consolas" w:hAnsi="Consolas"/>
          <w:rFonts w:ascii="Consolas" w:hAnsi="Consolas" w:cs="Consolas"/>
          <w:color w:val="1E293B"/>
        </w:rPr>
        <w:t>motivation_score</w:t>
      </w:r>
      <w:r>
        <w:t xml:space="preserve"> = 6.82, </w:t>
      </w:r>
      <w:r>
        <w:rPr>
          <w:rFonts w:ascii="Consolas" w:hAnsi="Consolas"/>
          <w:rFonts w:ascii="Consolas" w:hAnsi="Consolas" w:cs="Consolas"/>
          <w:color w:val="1E293B"/>
        </w:rPr>
        <w:t>study_hours_numeric</w:t>
      </w:r>
      <w:r>
        <w:t xml:space="preserve"> = 5.75, </w:t>
      </w:r>
      <w:r>
        <w:rPr>
          <w:rFonts w:ascii="Consolas" w:hAnsi="Consolas"/>
          <w:rFonts w:ascii="Consolas" w:hAnsi="Consolas" w:cs="Consolas"/>
          <w:color w:val="1E293B"/>
        </w:rPr>
        <w:t>part_time_score</w:t>
      </w:r>
      <w:r>
        <w:t xml:space="preserve"> = 1.10). Methodological Justification &amp; Model Robustness: Non-parametric tree-based ensemble models (Random Forest, Extra Trees, Gradient Boosting) and non-linear SHAP attributions evaluate features via sequential orthogonal splitting rather than matrix inversion (as in ordinary least squares regressions), making tree ensembles and SHAP game-theoretic attributions mathematically immune to collinearity instability [93, 94, 120]. SHAP interpretability analysis (Section 7) evaluates feature attributions across coherent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[17, 42].</w:t>
      </w:r>
    </w:p>
    <w:p>
      <w:pPr>
        <w:pStyle w:val="Heading3"/>
        <w:spacing w:before="200" w:after="60"/>
      </w:pPr>
      <w:r>
        <w:rPr>
          <w:color w:val="047857"/>
        </w:rPr>
        <w:t>6.1 Overall Predictive Ability</w:t>
      </w:r>
    </w:p>
    <w:p>
      <w:pPr>
        <w:spacing w:after="80" w:line="276" w:lineRule="auto"/>
      </w:pPr>
      <w:r>
        <w:t>Table 4 shows the comparative performance of the machine learning algorithms over 10-Fold Stratified Cross-Validation after rigorous pre-processing, feature scaling and clean behavioural ratio engineering, under standard ROC and classification metrics [99, 121].</w:t>
      </w:r>
    </w:p>
    <w:p>
      <w:pPr>
        <w:pStyle w:val="Heading3"/>
        <w:spacing w:before="200" w:after="60"/>
      </w:pPr>
      <w:r>
        <w:rPr>
          <w:color w:val="047857"/>
        </w:rPr>
        <w:t>Table 4. Benchmark Classification Performance of 10 Machine Learning Models and Soft Voting Ensemble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 (Mean ± SD)</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 (Mean ± SD) [95% CI]</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 ± 0.0583</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 ± 0.0775 [0.6665, 0.7625]</w:t>
            </w:r>
          </w:p>
        </w:tc>
        <w:tc>
          <w:tcPr>
            <w:tcW w:type="dxa" w:w="1337"/>
            <w:tcBorders>
              <w:top w:val="single" w:color="94A3B8" w:sz="4"/>
              <w:left w:val="none"/>
              <w:bottom w:val="single" w:color="94A3B8" w:sz="4"/>
              <w:right w:val="none"/>
            </w:tcBorders>
          </w:tcPr>
          <w:p>
            <w:r/>
            <w:r>
              <w:t>8.76</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 ± 0.0926</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 ± 0.0893 [0.6493, 0.7600]</w:t>
            </w:r>
          </w:p>
        </w:tc>
        <w:tc>
          <w:tcPr>
            <w:tcW w:type="dxa" w:w="1337"/>
            <w:tcBorders>
              <w:top w:val="single" w:color="94A3B8" w:sz="4"/>
              <w:left w:val="none"/>
              <w:bottom w:val="single" w:color="94A3B8" w:sz="4"/>
              <w:right w:val="none"/>
            </w:tcBorders>
          </w:tcPr>
          <w:p>
            <w:r/>
            <w:r>
              <w:t>&lt;0.01</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 ± 0.0759</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 ± 0.0837 [0.6470, 0.7508]</w:t>
            </w:r>
          </w:p>
        </w:tc>
        <w:tc>
          <w:tcPr>
            <w:tcW w:type="dxa" w:w="1337"/>
            <w:tcBorders>
              <w:top w:val="single" w:color="94A3B8" w:sz="4"/>
              <w:left w:val="none"/>
              <w:bottom w:val="single" w:color="94A3B8" w:sz="4"/>
              <w:right w:val="none"/>
            </w:tcBorders>
          </w:tcPr>
          <w:p>
            <w:r/>
            <w:r>
              <w:t>9.43</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 ± 0.0535</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 ± 0.0701 [0.6370, 0.7240]</w:t>
            </w:r>
          </w:p>
        </w:tc>
        <w:tc>
          <w:tcPr>
            <w:tcW w:type="dxa" w:w="1337"/>
            <w:tcBorders>
              <w:top w:val="single" w:color="94A3B8" w:sz="4"/>
              <w:left w:val="none"/>
              <w:bottom w:val="single" w:color="94A3B8" w:sz="4"/>
              <w:right w:val="none"/>
            </w:tcBorders>
          </w:tcPr>
          <w:p>
            <w:r/>
            <w:r>
              <w:t>0.93</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 ± 0.0898</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 ± 0.1015 [0.6294, 0.7552]</w:t>
            </w:r>
          </w:p>
        </w:tc>
        <w:tc>
          <w:tcPr>
            <w:tcW w:type="dxa" w:w="1337"/>
            <w:tcBorders>
              <w:top w:val="single" w:color="94A3B8" w:sz="4"/>
              <w:left w:val="none"/>
              <w:bottom w:val="single" w:color="94A3B8" w:sz="4"/>
              <w:right w:val="none"/>
            </w:tcBorders>
          </w:tcPr>
          <w:p>
            <w:r/>
            <w:r>
              <w:t>6.72</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 ± 0.0543</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 ± 0.0725 [0.6266, 0.7165]</w:t>
            </w:r>
          </w:p>
        </w:tc>
        <w:tc>
          <w:tcPr>
            <w:tcW w:type="dxa" w:w="1337"/>
            <w:tcBorders>
              <w:top w:val="single" w:color="94A3B8" w:sz="4"/>
              <w:left w:val="none"/>
              <w:bottom w:val="single" w:color="94A3B8" w:sz="4"/>
              <w:right w:val="none"/>
            </w:tcBorders>
          </w:tcPr>
          <w:p>
            <w:r/>
            <w:r>
              <w:t>2.61</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 ± 0.0673</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 ± 0.0774 [0.6506, 0.7465]</w:t>
            </w:r>
          </w:p>
        </w:tc>
        <w:tc>
          <w:tcPr>
            <w:tcW w:type="dxa" w:w="1337"/>
            <w:tcBorders>
              <w:top w:val="single" w:color="94A3B8" w:sz="4"/>
              <w:left w:val="none"/>
              <w:bottom w:val="single" w:color="94A3B8" w:sz="4"/>
              <w:right w:val="none"/>
            </w:tcBorders>
          </w:tcPr>
          <w:p>
            <w:r/>
            <w:r>
              <w:t>4.81</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 ± 0.0849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 ± 0.0783 [0.6390, 0.7361]</w:t>
            </w:r>
          </w:p>
        </w:tc>
        <w:tc>
          <w:tcPr>
            <w:tcW w:type="dxa" w:w="1337"/>
            <w:tcBorders>
              <w:top w:val="single" w:color="94A3B8" w:sz="4"/>
              <w:left w:val="none"/>
              <w:bottom w:val="single" w:color="94A3B8" w:sz="4"/>
              <w:right w:val="none"/>
            </w:tcBorders>
          </w:tcPr>
          <w:p>
            <w:r/>
            <w:r>
              <w:t>3.41</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 ± 0.0352</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 ± 0.0581 [0.6504, 0.7224]</w:t>
            </w:r>
          </w:p>
        </w:tc>
        <w:tc>
          <w:tcPr>
            <w:tcW w:type="dxa" w:w="1337"/>
            <w:tcBorders>
              <w:top w:val="single" w:color="94A3B8" w:sz="4"/>
              <w:left w:val="none"/>
              <w:bottom w:val="single" w:color="94A3B8" w:sz="4"/>
              <w:right w:val="none"/>
            </w:tcBorders>
          </w:tcPr>
          <w:p>
            <w:r/>
            <w:r>
              <w:t>2.45</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 ± 0.0631</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 ± 0.0649 [0.5989, 0.6793]</w:t>
            </w:r>
          </w:p>
        </w:tc>
        <w:tc>
          <w:tcPr>
            <w:tcW w:type="dxa" w:w="1337"/>
            <w:tcBorders>
              <w:top w:val="single" w:color="94A3B8" w:sz="4"/>
              <w:left w:val="none"/>
              <w:bottom w:val="single" w:color="94A3B8" w:sz="4"/>
              <w:right w:val="none"/>
            </w:tcBorders>
          </w:tcPr>
          <w:p>
            <w:r/>
            <w:r>
              <w:t>0.67</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 ± 0.0565</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 ± 0.0717 [0.6041, 0.6930]</w:t>
            </w:r>
          </w:p>
        </w:tc>
        <w:tc>
          <w:tcPr>
            <w:tcW w:type="dxa" w:w="1337"/>
            <w:tcBorders>
              <w:top w:val="single" w:color="94A3B8" w:sz="4"/>
              <w:left w:val="none"/>
              <w:bottom w:val="single" w:color="94A3B8" w:sz="4"/>
              <w:right w:val="none"/>
            </w:tcBorders>
          </w:tcPr>
          <w:p>
            <w:r/>
            <w:r>
              <w:t>21.57</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is assigned by convention for the all-negative classifier as the theoretical lower bound of chance-level discrimination; this classifier cannot produce a true ROC curve since it never predicts the positive class at any threshold. All ML models substantially exceed this baseline. Hyperparameter Stability Note: To confirm that reported accuracy is not an artefact of untuned default parameters, a 10-fold outer / 5-fold inner Nested Cross-Validation with GridSearchCV was conducted on the top classifiers (tuning n_estimators, max_depth, min_samples_split). Tuned Random Forest achieved 65.56% Accuracy and 0.7095 ROC-AUC — only 0.33 percentage points below default settings (65.89%) — confirming that the model operates in a low-variance, stable regime not susceptible to hyperparameter overfitting on this N = 601 dataset. Library Reproducibility Note: Gradient Boosting and XGBoost algorithms exhibit minor decimal variations (±0.005–0.010 in accuracy/F1) across library releases due to evolving internal default regularizations, whereas the qualitative hierarchy remains 100% robust across all runtime environments.</w:t>
      </w:r>
    </w:p>
    <w:p>
      <w:pPr>
        <w:pStyle w:val="Heading3"/>
        <w:spacing w:before="200" w:after="60"/>
      </w:pPr>
      <w:r>
        <w:rPr>
          <w:color w:val="047857"/>
        </w:rPr>
        <w:t>6.1.1 Feature-Set Ablation Analysis (Raw Baseline vs. Full Composite Feature Set)</w:t>
      </w:r>
    </w:p>
    <w:p>
      <w:pPr>
        <w:spacing w:after="80" w:line="276" w:lineRule="auto"/>
      </w:pPr>
      <w:r>
        <w:t>To rigorously assess whether the 9 domain-engineered composite indices (operationalizing JD-R demands, COR resources, and sleep/academic ratios) provided genuine predictive utility beyond the raw survey variables, a 10-fold cross-validated feature ablation experiment was conducted comparing models trained exclusively on raw survey items (24 one-hot encoded features) versus the full feature set (33 features). The ablation confirmed that incorporating theoretically grounded composite features produced substantial empirical gains for tree-based ensemble architectures:</w:t>
      </w:r>
    </w:p>
    <w:p>
      <w:pPr>
        <w:pStyle w:val="ListBullet"/>
        <w:spacing w:after="80" w:line="276" w:lineRule="auto"/>
      </w:pPr>
      <w:r>
        <w:rPr>
          <w:b/>
        </w:rPr>
        <w:t>Random Forest</w:t>
      </w:r>
      <w:r>
        <w:t>: Accuracy increased from $64.06\% \pm 4.68\%$ to $65.89\% \pm 5.83\%$ (+1.83 pp), ROC-AUC improved from $0.6920 \pm 0.0762$ to $0.7126 \pm 0.0775$ (+0.0206 AUC; Mean CV AUC: $0.7145 \pm 0.0775$), and F1 improved from $0.4808$ to $0.5199$ (+0.0391).</w:t>
      </w:r>
    </w:p>
    <w:p>
      <w:pPr>
        <w:pStyle w:val="ListBullet"/>
        <w:spacing w:after="80" w:line="276" w:lineRule="auto"/>
      </w:pPr>
      <w:r>
        <w:rPr>
          <w:b/>
        </w:rPr>
        <w:t>CatBoost</w:t>
      </w:r>
      <w:r>
        <w:t>: Accuracy improved from $62.23\% \pm 5.05\%$ to $65.06\% \pm 7.59\%$ (+2.83 pp), with ROC-AUC rising from $0.6758 \pm 0.0704$ to $0.6983 \pm 0.0837$ (+0.0225 AUC; Mean CV AUC: $0.6989 \pm 0.0837$), and F1 from $0.5011$ to $0.5455$ (+0.0444).</w:t>
      </w:r>
    </w:p>
    <w:p>
      <w:pPr>
        <w:pStyle w:val="ListBullet"/>
        <w:spacing w:after="80" w:line="276" w:lineRule="auto"/>
      </w:pPr>
      <w:r>
        <w:rPr>
          <w:b/>
        </w:rPr>
        <w:t>LightGBM</w:t>
      </w:r>
      <w:r>
        <w:t>: Accuracy improved from $59.07\% \pm 5.62\%$ to $63.39\% \pm 8.49\%$ (+4.32 pp), with ROC-AUC rising from $0.6487 \pm 0.0695$ to $0.6898 \pm 0.0783$ (+0.0411 AUC; Mean CV AUC: $0.6875 \pm 0.0783$), and F1 from $0.5020$ to $0.5397$ (+0.0377).</w:t>
      </w:r>
    </w:p>
    <w:p>
      <w:pPr>
        <w:pStyle w:val="ListBullet"/>
        <w:spacing w:after="80" w:line="276" w:lineRule="auto"/>
      </w:pPr>
      <w:r>
        <w:rPr>
          <w:b/>
        </w:rPr>
        <w:t>Decision Tree</w:t>
      </w:r>
      <w:r>
        <w:t>: Accuracy improved from $59.90\% \pm 2.64\%$ to $61.40\% \pm 6.31\%$ (+1.50 pp), and F1 rose from $0.4248$ to $0.4703$ (+0.0455).</w:t>
      </w:r>
    </w:p>
    <w:p>
      <w:pPr>
        <w:spacing w:after="80" w:line="276" w:lineRule="auto"/>
      </w:pPr>
      <w:r>
        <w:t>In contrast, linear Logistic Regression exhibited near-identical performance across raw ($65.22\% \pm 5.96\%$, AUC = $0.6827 \pm 0.0802$, F1 = $0.5447$) and composite sets ($64.39\% \pm 5.35\%$, AUC = $0.6819 \pm 0.0701$, F1 = $0.5348$), reflecting that linear models cannot effectively exploit multiplicative non-linear ratio interactions. These ablation findings confirm that the engineered composite features capture multi-way non-linear interaction dynamics that non-parametric tree ensembles leverage to enhance classification discrimination.</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5.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 and Multiplicity Correction</w:t>
      </w:r>
    </w:p>
    <w:p>
      <w:pPr>
        <w:spacing w:after="80" w:line="276" w:lineRule="auto"/>
      </w:pPr>
      <w:r>
        <w:t>Pairwise McNemar’s tests on out-of-fold predictions were computed with Edwards (1948) continuity correction ($\chi^2 = (|b - c| - 1)^2 / (b + c)$) to assess statistical significance between key classifier pairs. Family-wise error rate (FWER) was controlled via both Bonferroni ($\alpha_{\text{adj}} = 0.05 / 6 = 0.00833$) and Holm-Bonferroni step-down adjustments across the primary planned comparisons:</w:t>
      </w:r>
    </w:p>
    <w:p>
      <w:pPr>
        <w:spacing w:after="80" w:line="276" w:lineRule="auto"/>
      </w:pPr>
      <w:r>
        <w:t xml:space="preserve">1. </w:t>
      </w:r>
      <w:r>
        <w:rPr>
          <w:b/>
        </w:rPr>
        <w:t>Random Forest vs. Majority Baseline</w:t>
      </w:r>
      <w:r>
        <w:t>: $b = 61, c = 111, \chi^2 = 13.96, \text{raw } p &lt; .001, \text{Bonferroni } p = .001, \text{Holm } p = .001$ (Statistically significant after FWER correction).</w:t>
      </w:r>
    </w:p>
    <w:p>
      <w:pPr>
        <w:spacing w:after="80" w:line="276" w:lineRule="auto"/>
      </w:pPr>
      <w:r>
        <w:t xml:space="preserve">2. </w:t>
      </w:r>
      <w:r>
        <w:rPr>
          <w:b/>
        </w:rPr>
        <w:t>Soft Voting Ensemble vs. Majority Baseline</w:t>
      </w:r>
      <w:r>
        <w:t>: $b = 76, c = 126, \chi^2 = 11.89, \text{raw } p &lt; .001, \text{Bonferroni } p = .003, \text{Holm } p = .003$ (Statistically significant after FWER correction).</w:t>
      </w:r>
    </w:p>
    <w:p>
      <w:pPr>
        <w:spacing w:after="80" w:line="276" w:lineRule="auto"/>
      </w:pPr>
      <w:r>
        <w:t xml:space="preserve">3. </w:t>
      </w:r>
      <w:r>
        <w:rPr>
          <w:b/>
        </w:rPr>
        <w:t>Random Forest vs. Baseline Decision Tree</w:t>
      </w:r>
      <w:r>
        <w:t>: $b = 58, c = 85, \chi^2 = 4.73, \text{raw } p = .030, \text{Bonferroni } p = .178, \text{Holm } p = .119$ (Statistically significant at unadjusted $\alpha = 0.05$).</w:t>
      </w:r>
    </w:p>
    <w:p>
      <w:pPr>
        <w:spacing w:after="80" w:line="276" w:lineRule="auto"/>
      </w:pPr>
      <w:r>
        <w:t xml:space="preserve">4. </w:t>
      </w:r>
      <w:r>
        <w:rPr>
          <w:b/>
        </w:rPr>
        <w:t>Soft Voting Ensemble vs. Baseline Decision Tree</w:t>
      </w:r>
      <w:r>
        <w:t>: $b = 59, c = 86, \chi^2 = 4.66, \text{raw } p = .031, \text{Bonferroni } p = .185, \text{Holm } p = .119$ (Statistically significant at unadjusted $\alpha = 0.05$).</w:t>
      </w:r>
    </w:p>
    <w:p>
      <w:pPr>
        <w:spacing w:after="80" w:line="276" w:lineRule="auto"/>
      </w:pPr>
      <w:r>
        <w:t xml:space="preserve">5. </w:t>
      </w:r>
      <w:r>
        <w:rPr>
          <w:b/>
        </w:rPr>
        <w:t>Random Forest vs. Logistic Regression</w:t>
      </w:r>
      <w:r>
        <w:t>: $b = 58, c = 67, \chi^2 = 0.51, \text{raw } p = .474, \text{Bonferroni } p .999, \text{Holm } p = .949$ (Not statistically significant).</w:t>
      </w:r>
    </w:p>
    <w:p>
      <w:pPr>
        <w:spacing w:after="80" w:line="276" w:lineRule="auto"/>
      </w:pPr>
      <w:r>
        <w:t xml:space="preserve">6. </w:t>
      </w:r>
      <w:r>
        <w:rPr>
          <w:b/>
        </w:rPr>
        <w:t>Soft Voting Ensemble vs. Logistic Regression</w:t>
      </w:r>
      <w:r>
        <w:t>: $b = 54, c = 63, \chi^2 = 0.55, \text{raw } p = .460, \text{Bonferroni } p .999, \text{Holm } p = .949$ (Not statistically significant).</w:t>
      </w:r>
    </w:p>
    <w:p>
      <w:pPr>
        <w:spacing w:after="80" w:line="276" w:lineRule="auto"/>
      </w:pPr>
      <w:r>
        <w:t xml:space="preserve">7. </w:t>
      </w:r>
      <w:r>
        <w:rPr>
          <w:b/>
        </w:rPr>
        <w:t>CatBoost Classifier vs. Logistic Regression</w:t>
      </w:r>
      <w:r>
        <w:t>: $b = 63, c = 67, \chi^2 = 0.07, \text{raw } p = .792, \text{Bonferroni } p .999, \text{Holm } p .999$ (Not statistically significant).</w:t>
      </w:r>
    </w:p>
    <w:p>
      <w:pPr>
        <w:spacing w:after="80" w:line="276" w:lineRule="auto"/>
      </w:pPr>
      <w:r>
        <w:t xml:space="preserve">8. </w:t>
      </w:r>
      <w:r>
        <w:rPr>
          <w:b/>
        </w:rPr>
        <w:t>Soft Voting Ensemble vs. Random Forest</w:t>
      </w:r>
      <w:r>
        <w:t>: $b = 29, c = 29, \chi^2 = 0.02, \text{raw } p = .896, \text{Bonferroni } p .999, \text{Holm } p .999$ (Not statistically significant).</w:t>
      </w:r>
    </w:p>
    <w:p>
      <w:pPr>
        <w:spacing w:after="80" w:line="276" w:lineRule="auto"/>
      </w:pPr>
      <w:r>
        <w:t>These adjusted comparisons confirm that while tree ensembles and regularized linear baselines both significantly outperform single unpruned decision trees and the naive majority baseline, top-tier ensemble and linear models operate on a statistically comparable classification frontier on this survey sample.</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operationalize the Random Forest classifier as an early-warning screening tool where missing a student in acute burnout carries greater institutional cost than false-positive outreach, decision probability thresholds ($th \in [0.30, 0.50]$) were evaluated under a pre-specified optimization rule: $\max \text{Recall}$ subject to Precision $\ge 50.0\%$ and Accuracy $\ge 60.0\%$. Table 6 details the operational metrics:</w:t>
      </w:r>
    </w:p>
    <w:p>
      <w:pPr>
        <w:pStyle w:val="Heading3"/>
        <w:spacing w:before="200" w:after="60"/>
      </w:pPr>
      <w:r>
        <w:rPr>
          <w:color w:val="047857"/>
        </w:rPr>
        <w:t>Table 6.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(Pre-Specified Optimal)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0.6211*</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*F1 at th=0.38 corrected to 0.6211 (= 2×0.5463×0.7176 / (0.5463+0.7176)); minor rounding in previous versions.</w:t>
      </w:r>
    </w:p>
    <w:p>
      <w:pPr>
        <w:pStyle w:val="Heading3"/>
        <w:spacing w:before="200" w:after="60"/>
      </w:pPr>
      <w:r>
        <w:rPr>
          <w:color w:val="047857"/>
        </w:rPr>
        <w:t>Table 6b. Full Confusion Matrices for Key Decision Thresholds (Random Forest, Test-Set Predictions)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r>
      <w:tr>
        <w:tc>
          <w:tcPr>
            <w:tcW w:type="dxa" w:w="1170"/>
            <w:tcBorders>
              <w:top w:val="single" w:color="94A3B8" w:sz="4"/>
              <w:left w:val="none"/>
              <w:bottom w:val="single" w:color="94A3B8" w:sz="4"/>
              <w:right w:val="none"/>
            </w:tcBorders>
          </w:tcPr>
          <w:p>
            <w:r/>
            <w:r>
              <w:t>th = 0.50 (Default)</w:t>
            </w:r>
          </w:p>
        </w:tc>
        <w:tc>
          <w:tcPr>
            <w:tcW w:type="dxa" w:w="1170"/>
            <w:tcBorders>
              <w:top w:val="single" w:color="94A3B8" w:sz="4"/>
              <w:left w:val="none"/>
              <w:bottom w:val="single" w:color="94A3B8" w:sz="4"/>
              <w:right w:val="none"/>
            </w:tcBorders>
          </w:tcPr>
          <w:p>
            <w:r/>
            <w:r>
              <w:t>285</w:t>
            </w:r>
          </w:p>
        </w:tc>
        <w:tc>
          <w:tcPr>
            <w:tcW w:type="dxa" w:w="1170"/>
            <w:tcBorders>
              <w:top w:val="single" w:color="94A3B8" w:sz="4"/>
              <w:left w:val="none"/>
              <w:bottom w:val="single" w:color="94A3B8" w:sz="4"/>
              <w:right w:val="none"/>
            </w:tcBorders>
          </w:tcPr>
          <w:p>
            <w:r/>
            <w:r>
              <w:t>61</w:t>
            </w:r>
          </w:p>
        </w:tc>
        <w:tc>
          <w:tcPr>
            <w:tcW w:type="dxa" w:w="1170"/>
            <w:tcBorders>
              <w:top w:val="single" w:color="94A3B8" w:sz="4"/>
              <w:left w:val="none"/>
              <w:bottom w:val="single" w:color="94A3B8" w:sz="4"/>
              <w:right w:val="none"/>
            </w:tcBorders>
          </w:tcPr>
          <w:p>
            <w:r/>
            <w:r>
              <w:t>144</w:t>
            </w:r>
          </w:p>
        </w:tc>
        <w:tc>
          <w:tcPr>
            <w:tcW w:type="dxa" w:w="1170"/>
            <w:tcBorders>
              <w:top w:val="single" w:color="94A3B8" w:sz="4"/>
              <w:left w:val="none"/>
              <w:bottom w:val="single" w:color="94A3B8" w:sz="4"/>
              <w:right w:val="none"/>
            </w:tcBorders>
          </w:tcPr>
          <w:p>
            <w:r/>
            <w:r>
              <w:t>111</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65.89%</w:t>
            </w:r>
          </w:p>
        </w:tc>
      </w:tr>
      <w:tr>
        <w:tc>
          <w:tcPr>
            <w:tcW w:type="dxa" w:w="1170"/>
            <w:tcBorders>
              <w:top w:val="single" w:color="94A3B8" w:sz="4"/>
              <w:left w:val="none"/>
              <w:bottom w:val="single" w:color="94A3B8" w:sz="4"/>
              <w:right w:val="none"/>
            </w:tcBorders>
          </w:tcPr>
          <w:p>
            <w:r/>
            <w:r>
              <w:t>th = 0.42 (Balanced)</w:t>
            </w:r>
          </w:p>
        </w:tc>
        <w:tc>
          <w:tcPr>
            <w:tcW w:type="dxa" w:w="1170"/>
            <w:tcBorders>
              <w:top w:val="single" w:color="94A3B8" w:sz="4"/>
              <w:left w:val="none"/>
              <w:bottom w:val="single" w:color="94A3B8" w:sz="4"/>
              <w:right w:val="none"/>
            </w:tcBorders>
          </w:tcPr>
          <w:p>
            <w:r/>
            <w:r>
              <w:t>227</w:t>
            </w:r>
          </w:p>
        </w:tc>
        <w:tc>
          <w:tcPr>
            <w:tcW w:type="dxa" w:w="1170"/>
            <w:tcBorders>
              <w:top w:val="single" w:color="94A3B8" w:sz="4"/>
              <w:left w:val="none"/>
              <w:bottom w:val="single" w:color="94A3B8" w:sz="4"/>
              <w:right w:val="none"/>
            </w:tcBorders>
          </w:tcPr>
          <w:p>
            <w:r/>
            <w:r>
              <w:t>119</w:t>
            </w:r>
          </w:p>
        </w:tc>
        <w:tc>
          <w:tcPr>
            <w:tcW w:type="dxa" w:w="1170"/>
            <w:tcBorders>
              <w:top w:val="single" w:color="94A3B8" w:sz="4"/>
              <w:left w:val="none"/>
              <w:bottom w:val="single" w:color="94A3B8" w:sz="4"/>
              <w:right w:val="none"/>
            </w:tcBorders>
          </w:tcPr>
          <w:p>
            <w:r/>
            <w:r>
              <w:t>95</w:t>
            </w:r>
          </w:p>
        </w:tc>
        <w:tc>
          <w:tcPr>
            <w:tcW w:type="dxa" w:w="1170"/>
            <w:tcBorders>
              <w:top w:val="single" w:color="94A3B8" w:sz="4"/>
              <w:left w:val="none"/>
              <w:bottom w:val="single" w:color="94A3B8" w:sz="4"/>
              <w:right w:val="none"/>
            </w:tcBorders>
          </w:tcPr>
          <w:p>
            <w:r/>
            <w:r>
              <w:t>160</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64.39%</w:t>
            </w:r>
          </w:p>
        </w:tc>
      </w:tr>
      <w:tr>
        <w:tc>
          <w:tcPr>
            <w:tcW w:type="dxa" w:w="1170"/>
            <w:tcBorders>
              <w:top w:val="single" w:color="94A3B8" w:sz="4"/>
              <w:left w:val="none"/>
              <w:bottom w:val="single" w:color="94A3B8" w:sz="4"/>
              <w:right w:val="none"/>
            </w:tcBorders>
          </w:tcPr>
          <w:p>
            <w:r/>
            <w:r>
              <w:t>th = 0.38 (High-Recall)</w:t>
            </w:r>
          </w:p>
        </w:tc>
        <w:tc>
          <w:tcPr>
            <w:tcW w:type="dxa" w:w="1170"/>
            <w:tcBorders>
              <w:top w:val="single" w:color="94A3B8" w:sz="4"/>
              <w:left w:val="none"/>
              <w:bottom w:val="single" w:color="94A3B8" w:sz="4"/>
              <w:right w:val="none"/>
            </w:tcBorders>
          </w:tcPr>
          <w:p>
            <w:r/>
            <w:r>
              <w:t>194</w:t>
            </w:r>
          </w:p>
        </w:tc>
        <w:tc>
          <w:tcPr>
            <w:tcW w:type="dxa" w:w="1170"/>
            <w:tcBorders>
              <w:top w:val="single" w:color="94A3B8" w:sz="4"/>
              <w:left w:val="none"/>
              <w:bottom w:val="single" w:color="94A3B8" w:sz="4"/>
              <w:right w:val="none"/>
            </w:tcBorders>
          </w:tcPr>
          <w:p>
            <w:r/>
            <w:r>
              <w:t>152</w:t>
            </w:r>
          </w:p>
        </w:tc>
        <w:tc>
          <w:tcPr>
            <w:tcW w:type="dxa" w:w="1170"/>
            <w:tcBorders>
              <w:top w:val="single" w:color="94A3B8" w:sz="4"/>
              <w:left w:val="none"/>
              <w:bottom w:val="single" w:color="94A3B8" w:sz="4"/>
              <w:right w:val="none"/>
            </w:tcBorders>
          </w:tcPr>
          <w:p>
            <w:r/>
            <w:r>
              <w:t>72</w:t>
            </w:r>
          </w:p>
        </w:tc>
        <w:tc>
          <w:tcPr>
            <w:tcW w:type="dxa" w:w="1170"/>
            <w:tcBorders>
              <w:top w:val="single" w:color="94A3B8" w:sz="4"/>
              <w:left w:val="none"/>
              <w:bottom w:val="single" w:color="94A3B8" w:sz="4"/>
              <w:right w:val="none"/>
            </w:tcBorders>
          </w:tcPr>
          <w:p>
            <w:r/>
            <w:r>
              <w:t>183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62.73%</w:t>
            </w:r>
          </w:p>
        </w:tc>
      </w:tr>
    </w:tbl>
    <w:p>
      <w:pPr>
        <w:spacing w:before="0" w:after="120"/>
      </w:pPr>
    </w:p>
    <w:p>
      <w:pPr>
        <w:spacing w:after="80" w:line="276" w:lineRule="auto"/>
      </w:pPr>
      <w:r>
        <w:t>Note. TN = True Negative; FP = False Positive; FN = False Negative; TP = True Positive. All confusion matrices computed on the full N = 601 dataset using the final Random Forest model (full-dataset refit). Verify: TN+FP+FN+TP = 601 for all rows. At th = 0.38, 183/255 (71.76%) High Burnout students are detected at a cost of 152 false-positive referrals from the 346 Low/Medium students.</w:t>
      </w:r>
    </w:p>
    <w:p>
      <w:pPr>
        <w:spacing w:after="80" w:line="276" w:lineRule="auto"/>
      </w:pPr>
      <w:r>
        <w:t xml:space="preserve">As demonstrated in Table 6, setting $th = 0.38$ uniquely satisfies the pre-specified triage objective, achieving 71.76% Recall (capturing 183 of 255 high-burnout students, F1 = 0.6203) while maintaining acceptable precision (54.63%) and accuracy (62.73%). </w:t>
      </w:r>
      <w:r>
        <w:rPr>
          <w:b/>
        </w:rPr>
        <w:t>Operational Recommendation:</w:t>
      </w:r>
      <w:r>
        <w:t xml:space="preserve"> For voluntary early-warning screening where missing a high-burnout student is the primary institutional concern, the calibrated threshold $th = 0.38$ is the recommended deployment setting. For resource-constrained counselling services where counsellor fatigue is paramount, the default $th = 0.50$ provides higher specificity (82.37%). In all deployments, algorithmic flags must be presented as preliminary, non-binding decision-support indicators only.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 separating undergraduate students (Bachelor's degree, $n = 416$) from postgraduate and specialized cohorts (Master's, PhD, and Diploma students, $n = 185$).</w:t>
      </w:r>
    </w:p>
    <w:p>
      <w:pPr>
        <w:spacing w:after="80" w:line="276" w:lineRule="auto"/>
      </w:pPr>
      <w:r>
        <w:t>The primary evaluation trained the Random Forest model exclusively on the well-powered Bachelor's cohort ($n = 416$) using internal 10-fold stratified cross-validation, and subsequently evaluated performance on the completely held-out Master's/PhD/Diploma subgroup ($n = 185$) which was never exposed during training or feature scaling. A reverse evaluation (training on $n = 185$, testing on $n = 416$) was included strictly as an exploratory sensitivity check. Table 7 presents the empirical results.</w:t>
      </w:r>
    </w:p>
    <w:p>
      <w:pPr>
        <w:pStyle w:val="Heading3"/>
        <w:spacing w:before="200" w:after="60"/>
      </w:pPr>
      <w:r>
        <w:rPr>
          <w:color w:val="047857"/>
        </w:rPr>
        <w:t>Table 7.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7 demonstrates that the primary forward model (trained on $n = 416$ undergraduates) preserved solid discriminative capacity when transferred to the held-out postgraduate cohort ($n = 185$), achieving $67.03\%$ Accuracy and a ROC-AUC of 0.6597 (Precision = 62.75%, F1 = 0.5120). The reverse evaluation (training on $n=185$) exhibited low internal CV training performance (AUC = 0.5497), reflecting sample size constraints of training complex ensembles on small cohorts ($n=185$, $\approx 18$ samples per fold), and is therefore interpreted strictly as an exploratory sensitivity observation rather than conclusive evidence of bidirectional generalizability.</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[122]. They provide a predictive output, classifying a student as highly burnt out, but the mathematical logic behind the prediction is hidden [21, 122]. In this study, we use Explainable Artificial Intelligence (XAI) to bridge the gap between algorithm prediction and psychological interpretability. Specifically, the decision making process of the best performing Random Forest model [93]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[91]).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$\rho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w:t>
      </w:r>
      <w:r>
        <w:rPr>
          <w:rFonts w:ascii="Consolas" w:hAnsi="Consolas"/>
          <w:rFonts w:ascii="Consolas" w:hAnsi="Consolas" w:cs="Consolas"/>
          <w:color w:val="1E293B"/>
        </w:rPr>
        <w:t>min_samples_split</w:t>
      </w:r>
      <w:r>
        <w:t>) on the best performing classifiers. For nested CV, tuned Random Forest achieved 65.56% Accuracy, 0.7095 ROC-AUC (vs. 65.89% default accuracy) and tuned Logistic Regression achieved 62.73% Accuracy, 0.6768 ROC-AUC. This confirms that Random Forest remains the champion classifier under strict nested hyperparameter optimisation without data leakage.</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for High Burnout:</w:t>
      </w:r>
    </w:p>
    <w:p>
      <w:pPr>
        <w:spacing w:after="80" w:line="276" w:lineRule="auto"/>
      </w:pPr>
      <w:r>
        <w:t>Major Predictors:</w:t>
      </w:r>
    </w:p>
    <w:p>
      <w:pPr>
        <w:spacing w:after="80" w:line="276" w:lineRule="auto"/>
      </w:pPr>
      <w:r>
        <w:t>1. Academic Performance Index (Mean |SHAP| = 0.0388): This composite index of CGPA baseline ratio and attendance percentage emerged as the most influential predictor by mean |SHAP| magnitude for classifying severe burnout.</w:t>
      </w:r>
    </w:p>
    <w:p>
      <w:pPr>
        <w:spacing w:after="80" w:line="276" w:lineRule="auto"/>
      </w:pPr>
      <w:r>
        <w:t>2. CGPA Midpoint (Mean |SHAP| = 0.0362): The student’s baseline of raw academic performance, encoding the substantial psychometric burden of academic assessment and career anxiety.</w:t>
      </w:r>
    </w:p>
    <w:p>
      <w:pPr>
        <w:spacing w:after="80" w:line="276" w:lineRule="auto"/>
      </w:pPr>
      <w:r>
        <w:t>3. Screen-to-Sleep Ratio (Mean |SHAP| = 0.0298): This behavioural measure of the balance between social media use and sleep restoration had high marginal predictive importance.</w:t>
      </w:r>
    </w:p>
    <w:p>
      <w:pPr>
        <w:spacing w:after="80" w:line="276" w:lineRule="auto"/>
      </w:pPr>
      <w:r>
        <w:t>4. Burnout Vulnerability Index (Mean |SHAP| = 0.0238): Represents the gap between demand and resources (Psychological Strain x Academic Pressure / Resources).</w:t>
      </w:r>
    </w:p>
    <w:p>
      <w:pPr>
        <w:spacing w:after="80" w:line="276" w:lineRule="auto"/>
      </w:pPr>
      <w:r>
        <w:t>5. Social Media Hours (Mean |SHAP| = 0.0202): Adds further empirical support that unstructured screen time constitutes additive demand rather than restorative relaxation.</w:t>
      </w:r>
    </w:p>
    <w:p>
      <w:pPr>
        <w:spacing w:after="80" w:line="276" w:lineRule="auto"/>
      </w:pPr>
      <w:r>
        <w:t>6. Study-to-Rest Ratio (Mean |SHAP| = 0.0201): Evaluates overall cognitive burden versus recuperative potential of sleep and exercise.</w:t>
      </w:r>
    </w:p>
    <w:p>
      <w:pPr>
        <w:spacing w:after="80" w:line="276" w:lineRule="auto"/>
      </w:pPr>
      <w:r>
        <w:t>Demographics Contribute Negligibly: Sociodemographic factors ranked at the bottom of the SHAP hierarchy. Variables such as Age Group (mean |SHAP| = 0.0021, aggregating one-hot encoded categories from 0.0015 to 0.0036), Gender (Mean |SHAP| = 0.0066) and Degree Level (mean |SHAP| = 0.0012, aggregating categories from 0.0006 to 0.0024) had mathematically negligible impacts on the model’s predictions.</w:t>
      </w:r>
    </w:p>
    <w:p>
      <w:pPr>
        <w:pStyle w:val="Heading3"/>
        <w:spacing w:before="200" w:after="60"/>
      </w:pPr>
      <w:r>
        <w:rPr>
          <w:color w:val="047857"/>
        </w:rPr>
        <w:t>Table 7b. Global SHAP Feature Importance Summary (Random Forest, Full Dataset,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Feature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CV Rank Stability</w:t>
            </w:r>
          </w:p>
        </w:tc>
      </w:tr>
      <w:tr>
        <w:tc>
          <w:tcPr>
            <w:tcW w:type="dxa" w:w="1337"/>
            <w:tcBorders>
              <w:top w:val="single" w:color="94A3B8" w:sz="4"/>
              <w:left w:val="none"/>
              <w:bottom w:val="single" w:color="94A3B8" w:sz="4"/>
              <w:right w:val="none"/>
            </w:tcBorders>
          </w:tcPr>
          <w:p>
            <w:r/>
            <w:r>
              <w:t>1</w:t>
            </w:r>
          </w:p>
        </w:tc>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Composite - JD-R Demand</w:t>
            </w:r>
          </w:p>
        </w:tc>
        <w:tc>
          <w:tcPr>
            <w:tcW w:type="dxa" w:w="1337"/>
            <w:tcBorders>
              <w:top w:val="single" w:color="94A3B8" w:sz="4"/>
              <w:left w:val="none"/>
              <w:bottom w:val="single" w:color="94A3B8" w:sz="4"/>
              <w:right w:val="none"/>
            </w:tcBorders>
          </w:tcPr>
          <w:p>
            <w:r/>
            <w:r>
              <w:t>0.0388</w:t>
            </w:r>
          </w:p>
        </w:tc>
        <w:tc>
          <w:tcPr>
            <w:tcW w:type="dxa" w:w="1337"/>
            <w:tcBorders>
              <w:top w:val="single" w:color="94A3B8" w:sz="4"/>
              <w:left w:val="none"/>
              <w:bottom w:val="single" w:color="94A3B8" w:sz="4"/>
              <w:right w:val="none"/>
            </w:tcBorders>
          </w:tcPr>
          <w:p>
            <w:r/>
            <w:r>
              <w:t>Stable (top-1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2</w:t>
            </w:r>
          </w:p>
        </w:tc>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Raw Academic Performance</w:t>
            </w:r>
          </w:p>
        </w:tc>
        <w:tc>
          <w:tcPr>
            <w:tcW w:type="dxa" w:w="1337"/>
            <w:tcBorders>
              <w:top w:val="single" w:color="94A3B8" w:sz="4"/>
              <w:left w:val="none"/>
              <w:bottom w:val="single" w:color="94A3B8" w:sz="4"/>
              <w:right w:val="none"/>
            </w:tcBorders>
          </w:tcPr>
          <w:p>
            <w:r/>
            <w:r>
              <w:t>0.0362</w:t>
            </w:r>
          </w:p>
        </w:tc>
        <w:tc>
          <w:tcPr>
            <w:tcW w:type="dxa" w:w="1337"/>
            <w:tcBorders>
              <w:top w:val="single" w:color="94A3B8" w:sz="4"/>
              <w:left w:val="none"/>
              <w:bottom w:val="single" w:color="94A3B8" w:sz="4"/>
              <w:right w:val="none"/>
            </w:tcBorders>
          </w:tcPr>
          <w:p>
            <w:r/>
            <w:r>
              <w:t>Stable (top-2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3</w:t>
            </w:r>
          </w:p>
        </w:tc>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0.0298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4</w:t>
            </w:r>
          </w:p>
        </w:tc>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Composite - COR Strain</w:t>
            </w:r>
          </w:p>
        </w:tc>
        <w:tc>
          <w:tcPr>
            <w:tcW w:type="dxa" w:w="1337"/>
            <w:tcBorders>
              <w:top w:val="single" w:color="94A3B8" w:sz="4"/>
              <w:left w:val="none"/>
              <w:bottom w:val="single" w:color="94A3B8" w:sz="4"/>
              <w:right w:val="none"/>
            </w:tcBorders>
          </w:tcPr>
          <w:p>
            <w:r/>
            <w:r>
              <w:t>0.0238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5</w:t>
            </w:r>
          </w:p>
        </w:tc>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Raw Behavioural / Digital</w:t>
            </w:r>
          </w:p>
        </w:tc>
        <w:tc>
          <w:tcPr>
            <w:tcW w:type="dxa" w:w="1337"/>
            <w:tcBorders>
              <w:top w:val="single" w:color="94A3B8" w:sz="4"/>
              <w:left w:val="none"/>
              <w:bottom w:val="single" w:color="94A3B8" w:sz="4"/>
              <w:right w:val="none"/>
            </w:tcBorders>
          </w:tcPr>
          <w:p>
            <w:r/>
            <w:r>
              <w:t>0.0202</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6</w:t>
            </w:r>
          </w:p>
        </w:tc>
        <w:tc>
          <w:tcPr>
            <w:tcW w:type="dxa" w:w="1337"/>
            <w:tcBorders>
              <w:top w:val="single" w:color="94A3B8" w:sz="4"/>
              <w:left w:val="none"/>
              <w:bottom w:val="single" w:color="94A3B8" w:sz="4"/>
              <w:right w:val="none"/>
            </w:tcBorders>
          </w:tcPr>
          <w:p>
            <w:r/>
            <w:r>
              <w:t>Study-to-Rest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0.0201</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7-10</w:t>
            </w:r>
          </w:p>
        </w:tc>
        <w:tc>
          <w:tcPr>
            <w:tcW w:type="dxa" w:w="1337"/>
            <w:tcBorders>
              <w:top w:val="single" w:color="94A3B8" w:sz="4"/>
              <w:left w:val="none"/>
              <w:bottom w:val="single" w:color="94A3B8" w:sz="4"/>
              <w:right w:val="none"/>
            </w:tcBorders>
          </w:tcPr>
          <w:p>
            <w:r/>
            <w:r>
              <w:t>Sleep quality, Study hours, Physical activity, Stress</w:t>
            </w:r>
          </w:p>
        </w:tc>
        <w:tc>
          <w:tcPr>
            <w:tcW w:type="dxa" w:w="1337"/>
            <w:tcBorders>
              <w:top w:val="single" w:color="94A3B8" w:sz="4"/>
              <w:left w:val="none"/>
              <w:bottom w:val="single" w:color="94A3B8" w:sz="4"/>
              <w:right w:val="none"/>
            </w:tcBorders>
          </w:tcPr>
          <w:p>
            <w:r/>
            <w:r>
              <w:t>Raw Behavioural / Psychometric</w:t>
            </w:r>
          </w:p>
        </w:tc>
        <w:tc>
          <w:tcPr>
            <w:tcW w:type="dxa" w:w="1337"/>
            <w:tcBorders>
              <w:top w:val="single" w:color="94A3B8" w:sz="4"/>
              <w:left w:val="none"/>
              <w:bottom w:val="single" w:color="94A3B8" w:sz="4"/>
              <w:right w:val="none"/>
            </w:tcBorders>
          </w:tcPr>
          <w:p>
            <w:r/>
            <w:r>
              <w:t>0.010-0.019</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11-18</w:t>
            </w:r>
          </w:p>
        </w:tc>
        <w:tc>
          <w:tcPr>
            <w:tcW w:type="dxa" w:w="1337"/>
            <w:tcBorders>
              <w:top w:val="single" w:color="94A3B8" w:sz="4"/>
              <w:left w:val="none"/>
              <w:bottom w:val="single" w:color="94A3B8" w:sz="4"/>
              <w:right w:val="none"/>
            </w:tcBorders>
          </w:tcPr>
          <w:p>
            <w:r/>
            <w:r>
              <w:t>Remaining psychometric and raw features</w:t>
            </w:r>
          </w:p>
        </w:tc>
        <w:tc>
          <w:tcPr>
            <w:tcW w:type="dxa" w:w="1337"/>
            <w:tcBorders>
              <w:top w:val="single" w:color="94A3B8" w:sz="4"/>
              <w:left w:val="none"/>
              <w:bottom w:val="single" w:color="94A3B8" w:sz="4"/>
              <w:right w:val="none"/>
            </w:tcBorders>
          </w:tcPr>
          <w:p>
            <w:r/>
            <w:r>
              <w:t>Mixed</w:t>
            </w:r>
          </w:p>
        </w:tc>
        <w:tc>
          <w:tcPr>
            <w:tcW w:type="dxa" w:w="1337"/>
            <w:tcBorders>
              <w:top w:val="single" w:color="94A3B8" w:sz="4"/>
              <w:left w:val="none"/>
              <w:bottom w:val="single" w:color="94A3B8" w:sz="4"/>
              <w:right w:val="none"/>
            </w:tcBorders>
          </w:tcPr>
          <w:p>
            <w:r/>
            <w:r>
              <w:t>0.008-0.010</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Bottom 3</w:t>
            </w:r>
          </w:p>
        </w:tc>
        <w:tc>
          <w:tcPr>
            <w:tcW w:type="dxa" w:w="1337"/>
            <w:tcBorders>
              <w:top w:val="single" w:color="94A3B8" w:sz="4"/>
              <w:left w:val="none"/>
              <w:bottom w:val="single" w:color="94A3B8" w:sz="4"/>
              <w:right w:val="none"/>
            </w:tcBorders>
          </w:tcPr>
          <w:p>
            <w:r/>
            <w:r>
              <w:t>Gender, Degree Level, Age Group</w:t>
            </w:r>
          </w:p>
        </w:tc>
        <w:tc>
          <w:tcPr>
            <w:tcW w:type="dxa" w:w="1337"/>
            <w:tcBorders>
              <w:top w:val="single" w:color="94A3B8" w:sz="4"/>
              <w:left w:val="none"/>
              <w:bottom w:val="single" w:color="94A3B8" w:sz="4"/>
              <w:right w:val="none"/>
            </w:tcBorders>
          </w:tcPr>
          <w:p>
            <w:r/>
            <w:r>
              <w:t>Demographic</w:t>
            </w:r>
          </w:p>
        </w:tc>
        <w:tc>
          <w:tcPr>
            <w:tcW w:type="dxa" w:w="1337"/>
            <w:tcBorders>
              <w:top w:val="single" w:color="94A3B8" w:sz="4"/>
              <w:left w:val="none"/>
              <w:bottom w:val="single" w:color="94A3B8" w:sz="4"/>
              <w:right w:val="none"/>
            </w:tcBorders>
          </w:tcPr>
          <w:p>
            <w:r/>
            <w:r>
              <w:t>&lt; 0.007</w:t>
            </w:r>
          </w:p>
        </w:tc>
        <w:tc>
          <w:tcPr>
            <w:tcW w:type="dxa" w:w="1337"/>
            <w:tcBorders>
              <w:top w:val="single" w:color="94A3B8" w:sz="4"/>
              <w:left w:val="none"/>
              <w:bottom w:val="single" w:color="94A3B8" w:sz="4"/>
              <w:right w:val="none"/>
            </w:tcBorders>
          </w:tcPr>
          <w:p>
            <w:r/>
            <w:r>
              <w:t>Negligible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Note. Mean SHAP values computed on full-dataset Random Forest refit (N = 601) for global attribution; predictive performance (Accuracy, ROC-AUC) evaluated exclusively via 10-fold stratified CV to prevent data leakage. CV rank stability confirmed by aggregating within-fold test-set SHAP values across all 10 folds (Spearman rank correlation rho = 0.9856, p &lt; .001), confirming the global importance hierarchy is not a full-dataset overfitting artefact.</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semi-structured/structured interviews with a purposively selected subsample of students reporting different levels of burnout in the initial survey. Table 8 summarizes the demographic and academic characteristics of the qualitative sample ($N = 20$). The interview transcripts were analysed using Braun and Clarke [103]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Table 8. Demographic and Academic Characteristics of the Qualitative Interview Sample (N = 20)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Participant ID</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Enrolled Degree Program</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Academic Year</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Institutional Affiliation Type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Self-Reported Burnout Severity Tier</w:t>
            </w:r>
          </w:p>
        </w:tc>
      </w:tr>
      <w:tr>
        <w:tc>
          <w:tcPr>
            <w:tcW w:type="dxa" w:w="1872"/>
            <w:tcBorders>
              <w:top w:val="single" w:color="94A3B8" w:sz="4"/>
              <w:left w:val="none"/>
              <w:bottom w:val="single" w:color="94A3B8" w:sz="4"/>
              <w:right w:val="none"/>
            </w:tcBorders>
          </w:tcPr>
          <w:p>
            <w:r/>
            <w:r>
              <w:t>P1</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w:t>
            </w:r>
          </w:p>
        </w:tc>
        <w:tc>
          <w:tcPr>
            <w:tcW w:type="dxa" w:w="1872"/>
            <w:tcBorders>
              <w:top w:val="single" w:color="94A3B8" w:sz="4"/>
              <w:left w:val="none"/>
              <w:bottom w:val="single" w:color="94A3B8" w:sz="4"/>
              <w:right w:val="none"/>
            </w:tcBorders>
          </w:tcPr>
          <w:p>
            <w:r/>
            <w:r>
              <w:t>Master of Science (CSE)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B</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P3</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P5</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C</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P6</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P10</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P11</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Affiliated College A (National University System)</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P12</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P13</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P15</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F</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P16</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Public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G</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H</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P20</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Affiliated College B (National University System)</w:t>
            </w:r>
          </w:p>
        </w:tc>
        <w:tc>
          <w:tcPr>
            <w:tcW w:type="dxa" w:w="1872"/>
            <w:tcBorders>
              <w:top w:val="single" w:color="94A3B8" w:sz="4"/>
              <w:left w:val="none"/>
              <w:bottom w:val="single" w:color="94A3B8" w:sz="4"/>
              <w:right w:val="none"/>
            </w:tcBorders>
          </w:tcPr>
          <w:p>
            <w:r/>
            <w:r>
              <w:t>High Burnout</w:t>
            </w:r>
          </w:p>
        </w:tc>
      </w:tr>
    </w:tbl>
    <w:p>
      <w:pPr>
        <w:spacing w:before="0" w:after="120"/>
      </w:pPr>
    </w:p>
    <w:p>
      <w:pPr>
        <w:spacing w:after="80" w:line="276" w:lineRule="auto"/>
      </w:pPr>
      <w:r>
        <w:rPr>
          <w:i/>
        </w:rPr>
        <w:t>Note on Qualitative Sampling Stratification and Tier Concordance</w:t>
      </w:r>
      <w:r>
        <w:t>: The qualitative subsample ($N = 20$) was recruited via nested purposive maximum variation sampling across the quantitative survey burnout strata (</w:t>
      </w:r>
      <w:r>
        <w:rPr>
          <w:rFonts w:ascii="Consolas" w:hAnsi="Consolas"/>
          <w:rFonts w:ascii="Consolas" w:hAnsi="Consolas" w:cs="Consolas"/>
          <w:color w:val="1E293B"/>
        </w:rPr>
        <w:t>burnout_score</w:t>
      </w:r>
      <w:r>
        <w:t xml:space="preserve"> tiers: Low $n=2$, Medium $n=8$, High $n=10$). In Table 8, the 'Self-Reported Burnout Severity Tier' reflects the verified categorical classification obtained during the qualitative interview protocol (Question Q8), which exhibited 100% concordance with each participant's original quantitative survey sampling tier, confirming the temporal stability of the sampling strata on the day of the interview rather than serving as an independent blind validation.</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psychological comfort, and cultural nuance. The first author (a native Bangla speaker, fluent in both languages) transcribed the audio recordings word-for-word into Bangla. Subsequently, the transcripts and illustrative narrative excerpts were translated from Bengali into English by the lead author for thematic coding, cross-case synthesis, and international reporting. To ensure translation fidelity and prevent semantic drift, a randomly selected 25% sub-sample of transcripts (n = 5) were independently back-translated into Bengali (van Nes et al., 2010; Regmi et al., 2010) by a second bilingual educational researcher. Discrepancies related to idiomatic expressions (e.g., context-specific expressions of psychological distress such as “chinta” [deep anxiety/worry] or religious coping markers such as “Alhamdulillah”) were resolved by consensus to guarantee cross-cultural semantic equivalence and conceptual validity. Where multi-part responses across related questions of the 10-item interview protocol are synthesized into illustrative excerpts in Sections 8.3–8.6, bracketed ellipses (</w:t>
      </w:r>
      <w:r>
        <w:rPr>
          <w:rFonts w:ascii="Consolas" w:hAnsi="Consolas"/>
          <w:rFonts w:ascii="Consolas" w:hAnsi="Consolas" w:cs="Consolas"/>
          <w:color w:val="1E293B"/>
        </w:rPr>
        <w:t>[...]</w:t>
      </w:r>
      <w:r>
        <w:t>) clearly demarcate connected segments across conversational turns while maintaining strict semantic and tonal fidelity to the original spoken Bengali.</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interviewing/coding). Because the interviewer was aware of participants' sampling strata during the semi-structured interviews to ensure maximum variation probing across burnout tiers,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quantitative feature rankings and model predictions, analysed a 25% sub-sample of anonymised interview transcripts (n = 5). Inter-rater reliability was high across major thematic categories (Cohen’s $\kappa = 0.82$, 95% CI [0.74, 0.90]; Landis &amp; Koch, 1977 [111]), reflecting strong thematic stability across independent coders.</w:t>
      </w:r>
    </w:p>
    <w:p>
      <w:pPr>
        <w:pStyle w:val="Heading3"/>
        <w:spacing w:before="200" w:after="60"/>
      </w:pPr>
      <w:r>
        <w:rPr>
          <w:color w:val="047857"/>
        </w:rPr>
        <w:t>8.3 Theme 1: Academic Dread and Career Despair</w:t>
      </w:r>
    </w:p>
    <w:p>
      <w:pPr>
        <w:spacing w:after="80" w:line="276" w:lineRule="auto"/>
      </w:pPr>
      <w:r>
        <w:t>The interviews revealed that the most common fear was academic failure and the second most common fear was career prospects after graduation, mirroring the SHAP finding that academic performance indicators and CGPA are the most influential predictors of burnout. Students reporting High Burnout viewed academic demands as insurmountable pressure, not as manageable milestones. Participant 1 (Bachelor of Science in CSE 2nd Year, Private University A, High Burnout) summarized this experience: "My mental stress is quite high right now. Honestly, because I can't finish my daily tasks on time, the academic pressure feels even heavier. [...] I have constant anxiety about my career—what I'll do in the future, where my life is heading; thinking about these things makes me restless." Participant 10 (Bachelor 3rd Year, Private University D, High Burnout) expressed feeling overwhelmed by cumulative demands: "Mental stress is extremely high! Even if I study all day, it feels like the syllabus is never ending. [...] I am depressed all the time. There's the academic pressure, plus the current situation of the country—I don't see a good future." Participant 17 (Bachelor 1st Year, Private University G, Medium Burnout) noted the strict institutional grading context: "You already know the study pressure at our private university! I have to make it a rule to study 4-5 hours every day because our grading system is very strict. [...] Yes, I am often quite depressed about life and my studies."</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academic demands are prerequisite for burnout. Some National University students reported low day-to-day curriculum pressure, but experienced severe burnout driven by institutional stigma and career despair. Participant 11 (Bachelor 1st Year, Affiliated College A [National University System], High Burnout) explicitly contrasted academic workload with career despair: "Brother, as you know, studying at the National University means there isn't that much study pressure. [...] Mentally, I am not doing very well. For one, I study at the National University, and on top of that, my CGPA is bad. I can't find any direction for my future, so my depression is quite high." Participant 20 (Bachelor 3rd Year, Affiliated College B [National University System], High Burnout) echoed this experience: "There's no direct pressure from studies, but since I don't study—there's a constant internal stress that works inside my mind. [...] Brother, I am depressed all day long. For one, I study at the National University, and on top of that, there's no clue about my career."</w:t>
      </w:r>
    </w:p>
    <w:p>
      <w:pPr>
        <w:spacing w:after="80" w:line="276" w:lineRule="auto"/>
      </w:pPr>
      <w:r>
        <w:t>Methodological Caveat on Subgroup Evidentiary Base: It should be explicitly noted that this "low-pressure institutional burnout" theme emerged specifically from the two National University participants ($n = 2$, Participant 11 and Participant 20) represented in the purposive qualitative interview cohort ($N = 20$). While these accounts provide deep exploratory qualitative evidence of an unmeasured dimension of institutional marginalisation, this finding should be interpreted as exploratory and hypothesis-generating, warranting confirmatory investigation in dedicated future studies with larger cohorts of National University students.</w:t>
      </w:r>
    </w:p>
    <w:p>
      <w:pPr>
        <w:pStyle w:val="Heading3"/>
        <w:spacing w:before="200" w:after="60"/>
      </w:pPr>
      <w:r>
        <w:rPr>
          <w:color w:val="047857"/>
        </w:rPr>
        <w:t>8.5 Theme 3: Digital Fatigue as Maladaptive Coping</w:t>
      </w:r>
    </w:p>
    <w:p>
      <w:pPr>
        <w:spacing w:after="80" w:line="276" w:lineRule="auto"/>
      </w:pPr>
      <w:r>
        <w:t>Burnout was found to be significantly associated with social media consumption (ANOVA $p &lt; .001$). In qualitative interviews, we found that social media is frequently used as an avoidance mechanism for academic overwhelm, which subsequently disrupts time management and exacerbates the original stress, creating a vicious cycle of digital fatigue. Participant 18 (Bachelor 2nd Year, Private University H, High Burnout) described this habitual loss of digital control: "Social media is eating up all my valuable time. Between scrolling and web series, I waste at least 6 hours a day on my phone. [...] Burnout is very high. Between this daily routine and my mental state, I am completely tired." This unstructured digital consumption directly substituted for study and recuperative rest. Participant 8 (Bachelor 2nd Year, Private University A, High Burnout) similarly stated: "My whole day goes to my phone! Scrolling Facebook and playing PUBG takes up more than 6-7 hours a day. [...] I'm depressed quite often. No studies, no outdoor activities—adding it all up makes me feel like there is actually no future in Bangladesh."</w:t>
      </w:r>
    </w:p>
    <w:p>
      <w:pPr>
        <w:pStyle w:val="Heading3"/>
        <w:spacing w:before="200" w:after="60"/>
      </w:pPr>
      <w:r>
        <w:rPr>
          <w:color w:val="047857"/>
        </w:rPr>
        <w:t>8.6 Theme 4: Circadian Collapse and Sleep Deprivation (Biological Exhaustion)</w:t>
      </w:r>
    </w:p>
    <w:p>
      <w:pPr>
        <w:spacing w:after="80" w:line="276" w:lineRule="auto"/>
      </w:pPr>
      <w:r>
        <w:t>Students experiencing severe burnout consistently reported their circadian rhythms breaking down completely from late-night digital consumption, academic anxiety, or employment obligations. This qualitative finding provides contextual support to the SHAP values identifying sleep hours and sleep quality as essential buffers. Participant 6 (Bachelor 2nd Year, Private University A, High Burnout) described the disruption of sleep hygiene: "Actually, I watch a lot of web series at night, so I go to bed late. Then I have to wake up in the morning for university, so my sleep schedule is completely off. [...] Very poor. I don't get enough time to sleep, and even when I get into bed, sleep doesn't come easily." Participant 12 (Bachelor 2nd Year, Private University A, High Burnout) emphasized the compounded strain of employment and disrupted rest: "The academic pressure feels like a lot to me. I absolutely cannot balance the job and my studies together. [...] My sleep situation is very pathetic. I only get the chance to sleep for about 5-6 hours a day. [...] I am a very light sleeper, and it breaks at the slightest sound." In stark contrast, students who maintained consistent sleep hygiene and physical activity exhibited resilience even under high academic workloads. Participant 5 (Master's 1st Year, Private University C, Low Burnout) managed academic coursework, research, and graduate assistantship responsibilities with consistent restorative sleep: "Alhamdulillah, I can sleep very peacefully. I make it a rule to sleep 7-8 hours every day. [...] My burnout level is quite low. I am managing everything beautifully, and my results are going well too." Participant 4 (Bachelor 3rd Year, Private University A, Medium Burnout) highlighted the protective buffer of physical exercise and deep sleep: "Yes, I exercise regularly every morning. I also play football. [...] Alhamdulillah, my sleep is very good. I get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 Table 9 presents the formal explanatory triangulation matrix mapping quantitative SHAP predictors to qualitative themes.</w:t>
      </w:r>
    </w:p>
    <w:p>
      <w:pPr>
        <w:pStyle w:val="Heading3"/>
        <w:spacing w:before="200" w:after="60"/>
      </w:pPr>
      <w:r>
        <w:rPr>
          <w:color w:val="047857"/>
        </w:rPr>
        <w:t>Table 9. Explanatory Triangulation Matrix: SHAP Quantitative Predictors Mapped to Qualitative Themes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 Feature / Quantitative Signal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 \</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Emergent Qualitative Theme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Representative Participant Evidence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Status</w:t>
            </w:r>
          </w:p>
        </w:tc>
      </w:tr>
      <w:tr>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#1 (0.0388)</w:t>
            </w:r>
          </w:p>
        </w:tc>
        <w:tc>
          <w:tcPr>
            <w:tcW w:type="dxa" w:w="1337"/>
            <w:tcBorders>
              <w:top w:val="single" w:color="94A3B8" w:sz="4"/>
              <w:left w:val="none"/>
              <w:bottom w:val="single" w:color="94A3B8" w:sz="4"/>
              <w:right w:val="none"/>
            </w:tcBorders>
          </w:tcPr>
          <w:p>
            <w:r/>
            <w:r>
              <w:t>Theme 1: Academic Dread and Career Despair</w:t>
            </w:r>
          </w:p>
        </w:tc>
        <w:tc>
          <w:tcPr>
            <w:tcW w:type="dxa" w:w="1337"/>
            <w:tcBorders>
              <w:top w:val="single" w:color="94A3B8" w:sz="4"/>
              <w:left w:val="none"/>
              <w:bottom w:val="single" w:color="94A3B8" w:sz="4"/>
              <w:right w:val="none"/>
            </w:tcBorders>
          </w:tcPr>
          <w:p>
            <w:r/>
            <w:r>
              <w:t>P1: "I have constant anxiety about my career — what I'll do in the future"; P10: "Even if I study all day, it feels like the syllabus is never ending"</w:t>
            </w:r>
          </w:p>
        </w:tc>
        <w:tc>
          <w:tcPr>
            <w:tcW w:type="dxa" w:w="1337"/>
            <w:tcBorders>
              <w:top w:val="single" w:color="94A3B8" w:sz="4"/>
              <w:left w:val="none"/>
              <w:bottom w:val="single" w:color="94A3B8" w:sz="4"/>
              <w:right w:val="none"/>
            </w:tcBorders>
          </w:tcPr>
          <w:p>
            <w:r/>
            <w:r>
              <w:rPr>
                <w:b/>
              </w:rPr>
              <w:t>Convergence</w:t>
            </w:r>
            <w:r>
              <w:t>: Algorithmic signal corroborated by all High Burnout participants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#2 (0.0362)</w:t>
            </w:r>
          </w:p>
        </w:tc>
        <w:tc>
          <w:tcPr>
            <w:tcW w:type="dxa" w:w="1337"/>
            <w:tcBorders>
              <w:top w:val="single" w:color="94A3B8" w:sz="4"/>
              <w:left w:val="none"/>
              <w:bottom w:val="single" w:color="94A3B8" w:sz="4"/>
              <w:right w:val="none"/>
            </w:tcBorders>
          </w:tcPr>
          <w:p>
            <w:r/>
            <w:r>
              <w:t>Theme 1 &amp; Theme 2: Career Despair / Institutional Identity Burnout</w:t>
            </w:r>
          </w:p>
        </w:tc>
        <w:tc>
          <w:tcPr>
            <w:tcW w:type="dxa" w:w="1337"/>
            <w:tcBorders>
              <w:top w:val="single" w:color="94A3B8" w:sz="4"/>
              <w:left w:val="none"/>
              <w:bottom w:val="single" w:color="94A3B8" w:sz="4"/>
              <w:right w:val="none"/>
            </w:tcBorders>
          </w:tcPr>
          <w:p>
            <w:r/>
            <w:r>
              <w:t>P11: "I study at the National University, and my CGPA is bad — I can't find any direction"</w:t>
            </w:r>
          </w:p>
        </w:tc>
        <w:tc>
          <w:tcPr>
            <w:tcW w:type="dxa" w:w="1337"/>
            <w:tcBorders>
              <w:top w:val="single" w:color="94A3B8" w:sz="4"/>
              <w:left w:val="none"/>
              <w:bottom w:val="single" w:color="94A3B8" w:sz="4"/>
              <w:right w:val="none"/>
            </w:tcBorders>
          </w:tcPr>
          <w:p>
            <w:r/>
            <w:r>
              <w:rPr>
                <w:b/>
              </w:rPr>
              <w:t>Convergence + Extension</w:t>
            </w:r>
            <w:r>
              <w:t>: Qualitative adds institutional stigma dimension unmeasured by CGPA alone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#3 (0.0298)</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P18: "Social media is eating up all my valuable time — at least 6 hours a day"; P8: "My whole day goes to my phone"</w:t>
            </w:r>
          </w:p>
        </w:tc>
        <w:tc>
          <w:tcPr>
            <w:tcW w:type="dxa" w:w="1337"/>
            <w:tcBorders>
              <w:top w:val="single" w:color="94A3B8" w:sz="4"/>
              <w:left w:val="none"/>
              <w:bottom w:val="single" w:color="94A3B8" w:sz="4"/>
              <w:right w:val="none"/>
            </w:tcBorders>
          </w:tcPr>
          <w:p>
            <w:r/>
            <w:r>
              <w:rPr>
                <w:b/>
              </w:rPr>
              <w:t>Convergence</w:t>
            </w:r>
            <w:r>
              <w:t>: Sequential digital-sleep displacement mechanism corroborated qualitatively</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#4 (0.0238)</w:t>
            </w:r>
          </w:p>
        </w:tc>
        <w:tc>
          <w:tcPr>
            <w:tcW w:type="dxa" w:w="1337"/>
            <w:tcBorders>
              <w:top w:val="single" w:color="94A3B8" w:sz="4"/>
              <w:left w:val="none"/>
              <w:bottom w:val="single" w:color="94A3B8" w:sz="4"/>
              <w:right w:val="none"/>
            </w:tcBorders>
          </w:tcPr>
          <w:p>
            <w:r/>
            <w:r>
              <w:t>Theme 1 &amp; Theme 4: Psychological Distress + Sleep Collapse</w:t>
            </w:r>
          </w:p>
        </w:tc>
        <w:tc>
          <w:tcPr>
            <w:tcW w:type="dxa" w:w="1337"/>
            <w:tcBorders>
              <w:top w:val="single" w:color="94A3B8" w:sz="4"/>
              <w:left w:val="none"/>
              <w:bottom w:val="single" w:color="94A3B8" w:sz="4"/>
              <w:right w:val="none"/>
            </w:tcBorders>
          </w:tcPr>
          <w:p>
            <w:r/>
            <w:r>
              <w:t>P6: "My sleep schedule is completely off"; P12: "My sleep situation is very pathetic"</w:t>
            </w:r>
          </w:p>
        </w:tc>
        <w:tc>
          <w:tcPr>
            <w:tcW w:type="dxa" w:w="1337"/>
            <w:tcBorders>
              <w:top w:val="single" w:color="94A3B8" w:sz="4"/>
              <w:left w:val="none"/>
              <w:bottom w:val="single" w:color="94A3B8" w:sz="4"/>
              <w:right w:val="none"/>
            </w:tcBorders>
          </w:tcPr>
          <w:p>
            <w:r/>
            <w:r>
              <w:rPr>
                <w:b/>
              </w:rPr>
              <w:t>Convergence</w:t>
            </w:r>
            <w:r>
              <w:t>: Demand-resource imbalance operationalized in both analytical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#5 (0.0202)</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P8: "Scrolling Facebook and playing PUBG takes up more than 6-7 hours a day"</w:t>
            </w:r>
          </w:p>
        </w:tc>
        <w:tc>
          <w:tcPr>
            <w:tcW w:type="dxa" w:w="1337"/>
            <w:tcBorders>
              <w:top w:val="single" w:color="94A3B8" w:sz="4"/>
              <w:left w:val="none"/>
              <w:bottom w:val="single" w:color="94A3B8" w:sz="4"/>
              <w:right w:val="none"/>
            </w:tcBorders>
          </w:tcPr>
          <w:p>
            <w:r/>
            <w:r>
              <w:rPr>
                <w:b/>
              </w:rPr>
              <w:t>Convergence</w:t>
            </w:r>
            <w:r>
              <w:t>: Consistent across SHAP and all High Burnout interviews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Sleep Deprivation Index / Sleep Quality</w:t>
            </w:r>
          </w:p>
        </w:tc>
        <w:tc>
          <w:tcPr>
            <w:tcW w:type="dxa" w:w="1337"/>
            <w:tcBorders>
              <w:top w:val="single" w:color="94A3B8" w:sz="4"/>
              <w:left w:val="none"/>
              <w:bottom w:val="single" w:color="94A3B8" w:sz="4"/>
              <w:right w:val="none"/>
            </w:tcBorders>
          </w:tcPr>
          <w:p>
            <w:r/>
            <w:r>
              <w:t>#7–8</w:t>
            </w:r>
          </w:p>
        </w:tc>
        <w:tc>
          <w:tcPr>
            <w:tcW w:type="dxa" w:w="1337"/>
            <w:tcBorders>
              <w:top w:val="single" w:color="94A3B8" w:sz="4"/>
              <w:left w:val="none"/>
              <w:bottom w:val="single" w:color="94A3B8" w:sz="4"/>
              <w:right w:val="none"/>
            </w:tcBorders>
          </w:tcPr>
          <w:p>
            <w:r/>
            <w:r>
              <w:t>Theme 4: Circadian Collapse and Biological Exhaustion</w:t>
            </w:r>
          </w:p>
        </w:tc>
        <w:tc>
          <w:tcPr>
            <w:tcW w:type="dxa" w:w="1337"/>
            <w:tcBorders>
              <w:top w:val="single" w:color="94A3B8" w:sz="4"/>
              <w:left w:val="none"/>
              <w:bottom w:val="single" w:color="94A3B8" w:sz="4"/>
              <w:right w:val="none"/>
            </w:tcBorders>
          </w:tcPr>
          <w:p>
            <w:r/>
            <w:r>
              <w:t>P5 (Low Burnout): "I make it a rule to sleep 7-8 hours every day — my burnout level is quite low"</w:t>
            </w:r>
          </w:p>
        </w:tc>
        <w:tc>
          <w:tcPr>
            <w:tcW w:type="dxa" w:w="1337"/>
            <w:tcBorders>
              <w:top w:val="single" w:color="94A3B8" w:sz="4"/>
              <w:left w:val="none"/>
              <w:bottom w:val="single" w:color="94A3B8" w:sz="4"/>
              <w:right w:val="none"/>
            </w:tcBorders>
          </w:tcPr>
          <w:p>
            <w:r/>
            <w:r>
              <w:rPr>
                <w:b/>
              </w:rPr>
              <w:t>Complementarity</w:t>
            </w:r>
            <w:r>
              <w:t>: Protective role of sleep hygiene identified qualitatively as buffer</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Gender / Age / Degree Level</w:t>
            </w:r>
          </w:p>
        </w:tc>
        <w:tc>
          <w:tcPr>
            <w:tcW w:type="dxa" w:w="1337"/>
            <w:tcBorders>
              <w:top w:val="single" w:color="94A3B8" w:sz="4"/>
              <w:left w:val="none"/>
              <w:bottom w:val="single" w:color="94A3B8" w:sz="4"/>
              <w:right w:val="none"/>
            </w:tcBorders>
          </w:tcPr>
          <w:p>
            <w:r/>
            <w:r>
              <w:t>#Bottom (\&lt;0.007)</w:t>
            </w:r>
          </w:p>
        </w:tc>
        <w:tc>
          <w:tcPr>
            <w:tcW w:type="dxa" w:w="1337"/>
            <w:tcBorders>
              <w:top w:val="single" w:color="94A3B8" w:sz="4"/>
              <w:left w:val="none"/>
              <w:bottom w:val="single" w:color="94A3B8" w:sz="4"/>
              <w:right w:val="none"/>
            </w:tcBorders>
          </w:tcPr>
          <w:p>
            <w:r/>
            <w:r>
              <w:t>Themes 1–4 (Universal): All demographic groups report behavioural, not demographic, burnout drivers</w:t>
            </w:r>
          </w:p>
        </w:tc>
        <w:tc>
          <w:tcPr>
            <w:tcW w:type="dxa" w:w="1337"/>
            <w:tcBorders>
              <w:top w:val="single" w:color="94A3B8" w:sz="4"/>
              <w:left w:val="none"/>
              <w:bottom w:val="single" w:color="94A3B8" w:sz="4"/>
              <w:right w:val="none"/>
            </w:tcBorders>
          </w:tcPr>
          <w:p>
            <w:r/>
            <w:r>
              <w:t>No participant attributed burnout to age or gender</w:t>
            </w:r>
          </w:p>
        </w:tc>
        <w:tc>
          <w:tcPr>
            <w:tcW w:type="dxa" w:w="1337"/>
            <w:tcBorders>
              <w:top w:val="single" w:color="94A3B8" w:sz="4"/>
              <w:left w:val="none"/>
              <w:bottom w:val="single" w:color="94A3B8" w:sz="4"/>
              <w:right w:val="none"/>
            </w:tcBorders>
          </w:tcPr>
          <w:p>
            <w:r/>
            <w:r>
              <w:rPr>
                <w:b/>
              </w:rPr>
              <w:t>Convergence</w:t>
            </w:r>
            <w:r>
              <w:t>: Demographic invariance confirmed across both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Institutional type (unmeasured quantitatively)</w:t>
            </w:r>
          </w:p>
        </w:tc>
        <w:tc>
          <w:tcPr>
            <w:tcW w:type="dxa" w:w="1337"/>
            <w:tcBorders>
              <w:top w:val="single" w:color="94A3B8" w:sz="4"/>
              <w:left w:val="none"/>
              <w:bottom w:val="single" w:color="94A3B8" w:sz="4"/>
              <w:right w:val="none"/>
            </w:tcBorders>
          </w:tcPr>
          <w:p>
            <w:r/>
            <w:r>
              <w:t>Not captured</w:t>
            </w:r>
          </w:p>
        </w:tc>
        <w:tc>
          <w:tcPr>
            <w:tcW w:type="dxa" w:w="1337"/>
            <w:tcBorders>
              <w:top w:val="single" w:color="94A3B8" w:sz="4"/>
              <w:left w:val="none"/>
              <w:bottom w:val="single" w:color="94A3B8" w:sz="4"/>
              <w:right w:val="none"/>
            </w:tcBorders>
          </w:tcPr>
          <w:p>
            <w:r/>
            <w:r>
              <w:t>Theme 2: Institutional Identity and Low-Pressure Burnout</w:t>
            </w:r>
          </w:p>
        </w:tc>
        <w:tc>
          <w:tcPr>
            <w:tcW w:type="dxa" w:w="1337"/>
            <w:tcBorders>
              <w:top w:val="single" w:color="94A3B8" w:sz="4"/>
              <w:left w:val="none"/>
              <w:bottom w:val="single" w:color="94A3B8" w:sz="4"/>
              <w:right w:val="none"/>
            </w:tcBorders>
          </w:tcPr>
          <w:p>
            <w:r/>
            <w:r>
              <w:t>P11, P20: National University stigma as burnout driver independent of academic workload</w:t>
            </w:r>
          </w:p>
        </w:tc>
        <w:tc>
          <w:tcPr>
            <w:tcW w:type="dxa" w:w="1337"/>
            <w:tcBorders>
              <w:top w:val="single" w:color="94A3B8" w:sz="4"/>
              <w:left w:val="none"/>
              <w:bottom w:val="single" w:color="94A3B8" w:sz="4"/>
              <w:right w:val="none"/>
            </w:tcBorders>
          </w:tcPr>
          <w:p>
            <w:r/>
            <w:r>
              <w:rPr>
                <w:b/>
              </w:rPr>
              <w:t>Divergence / Extension</w:t>
            </w:r>
            <w:r>
              <w:t>: Qualitative reveals mechanism invisible to the quantitative model</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 xml:space="preserve">Note. Triangulation status definitions: </w:t>
      </w:r>
      <w:r>
        <w:rPr>
          <w:i/>
        </w:rPr>
        <w:t>Convergence</w:t>
      </w:r>
      <w:r>
        <w:t xml:space="preserve"> = quantitative and qualitative findings directly corroborate; </w:t>
      </w:r>
      <w:r>
        <w:rPr>
          <w:i/>
        </w:rPr>
        <w:t>Complementarity</w:t>
      </w:r>
      <w:r>
        <w:t xml:space="preserve"> = qualitative adds depth or nuance to quantitative signals without contradiction; </w:t>
      </w:r>
      <w:r>
        <w:rPr>
          <w:i/>
        </w:rPr>
        <w:t>Divergence/Extension</w:t>
      </w:r>
      <w:r>
        <w:t xml:space="preserve"> = qualitative identifies mechanisms absent from the quantitative feature space, representing unmeasured constructs for future model iteration. Protocol adapted from Farmer et al. (2006) [112].</w:t>
      </w:r>
    </w:p>
    <w:p>
      <w:pPr>
        <w:pStyle w:val="Heading3"/>
        <w:spacing w:before="200" w:after="60"/>
      </w:pPr>
      <w:r>
        <w:rPr>
          <w:color w:val="047857"/>
        </w:rPr>
        <w:t>9.1 CGPA Convergence and Career Disenchantment</w:t>
      </w:r>
    </w:p>
    <w:p>
      <w:pPr>
        <w:spacing w:after="80" w:line="276" w:lineRule="auto"/>
      </w:pPr>
      <w:r>
        <w:t xml:space="preserve">Quantitative Signal: Global SHAP attribution identified </w:t>
      </w:r>
      <w:r>
        <w:rPr>
          <w:rFonts w:ascii="Consolas" w:hAnsi="Consolas"/>
          <w:rFonts w:ascii="Consolas" w:hAnsi="Consolas" w:cs="Consolas"/>
          <w:color w:val="1E293B"/>
        </w:rPr>
        <w:t>academic_performance_index</w:t>
      </w:r>
      <w:r>
        <w:t xml:space="preserve"> (Mean |SHAP| = 0.0388), </w:t>
      </w:r>
      <w:r>
        <w:rPr>
          <w:rFonts w:ascii="Consolas" w:hAnsi="Consolas"/>
          <w:rFonts w:ascii="Consolas" w:hAnsi="Consolas" w:cs="Consolas"/>
          <w:color w:val="1E293B"/>
        </w:rPr>
        <w:t>cgpa_midpoint</w:t>
      </w:r>
      <w:r>
        <w:t xml:space="preserve"> (Mean |SHAP| = 0.0362), </w:t>
      </w:r>
      <w:r>
        <w:rPr>
          <w:rFonts w:ascii="Consolas" w:hAnsi="Consolas"/>
          <w:rFonts w:ascii="Consolas" w:hAnsi="Consolas" w:cs="Consolas"/>
          <w:color w:val="1E293B"/>
        </w:rPr>
        <w:t>screen_to_sleep_ratio</w:t>
      </w:r>
      <w:r>
        <w:t xml:space="preserve"> (Mean |SHAP| = 0.0298), and </w:t>
      </w:r>
      <w:r>
        <w:rPr>
          <w:rFonts w:ascii="Consolas" w:hAnsi="Consolas"/>
          <w:rFonts w:ascii="Consolas" w:hAnsi="Consolas" w:cs="Consolas"/>
          <w:color w:val="1E293B"/>
        </w:rPr>
        <w:t>burnout_vulnerability_index</w:t>
      </w:r>
      <w:r>
        <w:t xml:space="preserve"> (Mean |SHAP| = 0.0238) as the primary mathematical predictors of High Burnout classification. Qualitative Context: Reflexive thematic analysis contextualises the algorithm's prioritisation of these academic metrics. For university students in Bangladesh, CGPA operates as a high-stakes proxy for post-graduate career viability in an intensely competitive employment market. Participants consistently articulated a bidirectional psychological burden: striving to sustain a competitive CGPA incurs severe cognitive and emotional exhaustion, whereas sub-optimal academic standing engenders acute anxiety regarding post-graduate unemployment. Furthermore, qualitative inquiry illuminated an institutional nuance absent from the quantitative feature space: students enrolled in the National University system reported severe burnout even under nominal curricular workloads, driven by perceived institutional marginalisation and credential devaluation. This indicates that perceived academic pressure is inextricably intertwined with anticipatory career despair.</w:t>
      </w:r>
    </w:p>
    <w:p>
      <w:pPr>
        <w:pStyle w:val="Heading3"/>
        <w:spacing w:before="200" w:after="60"/>
      </w:pPr>
      <w:r>
        <w:rPr>
          <w:color w:val="047857"/>
        </w:rPr>
        <w:t>9.2 Convergence of Screen-to-Sleep Disruption and Digital Fatigue Dynamics</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do not passively consume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"Actually, I watch a lot of web series at night, so I go to bed late. Then I have to wake up in the morning for university, so my sleep schedule is completely off," explained Participant 6 (Bachelor 2nd Year, Private University A, High Burnout). Participant 8 echoed the same compounding dynamic: "My whole day goes to my phone! Scrolling Facebook and playing PUBG takes up more than 6-7 hours a day. [...] No studies, no outdoor activities—adding it all up makes me feel like there is actually no future in Bangladesh."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Sociodemographic Invariance in Algorithmic and Qualitative Burnout Risk Attribution</w:t>
      </w:r>
    </w:p>
    <w:p>
      <w:pPr>
        <w:spacing w:after="80" w:line="276" w:lineRule="auto"/>
      </w:pPr>
      <w:r>
        <w:t>Quantitative Signal: Demographic variables (Gender, Age Group, Degree Level) were found at the bottom of SHAP hierarchy and had mathematically insignificant predictive power. Qualitative Context: The interviews corroborate this observed invariance. Students did not attribute exhaustion to age or gender in their accounts. Instead, burnout was universally attributed to behavioural demands (working part-time jobs, studying long hours) and psychological states (depression over career prospects). The model's negligible attribution of burnout risk to age and gender is consistent with the qualitative finding that students attributed exhaustion to behavioural and psychological demands rather than fixed demographic characteristics — a pattern that corroborates the algorithmic output through independent narrative evidence.</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The integrated evidence is consistent with a hypothesised compounding risk pathway along the JD-R health impairment trajectory: Systemic Academic/Career Anxiety (CGPA pressure or institutional stigma) may contribute to primary Psychological Distress (depression and stress). Students unable to engage adaptive strategies may subsequently exhibit Maladaptive Digital Escapism (high social media use of 5–7 hours daily), which may further co-occur with Biological Exhaustion (sleep deprivation to 5–6 hours). This triangulated adaptation suggests that machine learning algorithms, suitably deconstructed through Explainable AI and contextualised through human interviews, can contribute meaningfully to our understanding of complex psychological phenomena. This proposed sequential pathway is inherently cross-sectional and correlational in the current study; the temporal ordering and directionality of these relationships require confirmation in future longitudinal studies using structural equation modelling on independent samples.</w:t>
      </w:r>
    </w:p>
    <w:p>
      <w:pPr>
        <w:pStyle w:val="Heading3"/>
        <w:spacing w:before="200" w:after="60"/>
      </w:pPr>
      <w:r>
        <w:rPr>
          <w:color w:val="047857"/>
        </w:rPr>
        <w:t>9.5 Research Hypothesis &amp; Research Questions Testing</w:t>
      </w:r>
    </w:p>
    <w:p>
      <w:pPr>
        <w:spacing w:after="80" w:line="276" w:lineRule="auto"/>
      </w:pPr>
      <w:r>
        <w:t xml:space="preserve">We now explicitly and empirically close the conceptual and predictive framework set in Section 1 by formally testing the four research hypotheses (H1–H4) and four research questions (RQ1–RQ4). Testing Research Hypotheses: H1 (Algorithm Superiority): </w:t>
      </w:r>
      <w:r>
        <w:rPr>
          <w:b/>
        </w:rPr>
        <w:t>Partially Supported</w:t>
      </w:r>
      <w:r>
        <w:t xml:space="preserve"> — Bagging ensembles (Random Forest) significantly outperformed the single-learner baseline (Decision Tree); gradient boosting ensembles did not. H1 predicted that ensemble-based classifiers (Random Forest, XGBoost, LightGBM, CatBoost) would perform better than single-learner models. The hypothesis is partially supported: the bagging-based ensemble (Random Forest) significantly outperformed the single learner (Decision Tree) via McNemar test, confirming one class of ensemble superiority. However, gradient boosting ensembles (XGBoost, LightGBM, CatBoost) did not significantly outperform Logistic Regression or Random Forest — an important boundary condition of the hypothesis.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[89];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(65.89%) performed significantly better than the single-learner Decision Tree in unadjusted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[38].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(biological exhaustion). RQ4 (Triangulated Meta-Inferences &amp; Policy Implications): Discussed in Sections 9 &amp; 10. Triangulation produced a unified 4-stage compounding burnout model (Academic/Career Anxiety $\rightarrow$ Psychological Distress $\rightarrow$ Maladaptive Digital Escapism $\rightarrow$ Circadian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[100]. A 10-fold cross-validated accuracy of 65.89% with a ROC-AUC of 0.7126 thus marks a modest, leak-free real-world exploratory screening baseline (8.32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(Section 6.3) showed that the difference in performance between Random Forest (Accuracy = 65.89%, F1 = 0.5199) and standard Logistic Regression (Accuracy = 64.39%, F1 = 0.5348) was not statistically significant ($\chi^2 = 0.51, p = 0.4743$). Complex gradient-boosted models such as CatBoost (65.06%) also did not significantly outperform Logistic Regression ($\chi^2 = 0.07, p = 0.7925$) or Random Forest ($\chi^2 = 0.23, p = 0.6350$).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empirical findings provide theoretical corroboration and contextual extension of the Job Demands-Resources (JD-R) model [38] to tertiary education in a developing economy. The JD-R model posits that burnout emerges when structural demands chronically outstrip restorative resources. Triangulating game-theoretic SHAP feature attributions with qualitative narratives identified three prominent demand-resource vectors: 1. Academic Performance (CGPA) as Primary Demand Vector: Unlike Western higher education cohorts where external employment or social isolation frequently dominate burnout risk [14], our XAI model identified Academic Performance Index (Mean |SHAP| = 0.0388) and CGPA Midpoint (Mean |SHAP| = 0.0362) as the foremost risk attributions. Qualitative narratives contextualised this ranking: in Bangladesh's constrained graduate job market, academic standing is perceived as the sole determinant of economic security. The substantial psychological strain associated with maintaining a high CGPA, combined with the hopelessness associated with sub-optimal grades (especially among stigmatised National University students), constitutes an unremitting structural demand. 2. The Digital Fatigue Paradox: While recreational activity theoretically functions as a restorative psychological resource, unstructured social media consumption (5 hours daily) emerged empirically as a demand-amplifying factor (Mean |SHAP| = 0.0202; Screen-to-Sleep Ratio Mean |SHAP| = 0.0298). Qualitative analysis revealed that digital engagement operates as an avoidance-based coping strategy that displaces sleep rather than replenishing cognitive resources. 3. Biological Resource Depletion (Sleep Deprivation): Objective and self-reported sleep metrics demonstrated prominent negative associations with burnout severity. Triangulation identified a consistent behavioural co-occurrence pattern wherein academic anxiety and digital escapism concurrently restrict sleep duration to 5–6 hours, inducing a chronic biological resource deficit that undermines next-day academic coping capacity.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experiential insights into self-perpetuating behavioural cycles (e.g., social media perceived as displacing sleep), a cross-sectional design is limited in its ability to determine causality. For example, it is still possible in theory that severe burnout leads to more social media use rather than vice versa.</w:t>
      </w:r>
    </w:p>
    <w:p>
      <w:pPr>
        <w:spacing w:after="80" w:line="276" w:lineRule="auto"/>
      </w:pPr>
      <w:r>
        <w:t xml:space="preserve">2. Self-Report Bias: The quantitative survey and qualitative interviews were entirely based on self-reported metrics. Variables such as </w:t>
      </w:r>
      <w:r>
        <w:rPr>
          <w:rFonts w:ascii="Consolas" w:hAnsi="Consolas"/>
          <w:rFonts w:ascii="Consolas" w:hAnsi="Consolas" w:cs="Consolas"/>
          <w:color w:val="1E293B"/>
        </w:rPr>
        <w:t>study_hours_numeric</w:t>
      </w:r>
      <w:r>
        <w:t xml:space="preserve"> and </w:t>
      </w:r>
      <w:r>
        <w:rPr>
          <w:rFonts w:ascii="Consolas" w:hAnsi="Consolas"/>
          <w:rFonts w:ascii="Consolas" w:hAnsi="Consolas" w:cs="Consolas"/>
          <w:color w:val="1E293B"/>
        </w:rPr>
        <w:t>sleep_hours_numeric</w:t>
      </w:r>
      <w:r>
        <w:t xml:space="preserve"> remain subject to recall bias.</w:t>
      </w:r>
    </w:p>
    <w:p>
      <w:pPr>
        <w:spacing w:after="80" w:line="276" w:lineRule="auto"/>
      </w:pPr>
      <w:r>
        <w:t>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[11, 123]. Such external “natural” stressors probably play a massive, hidden role in the high burnout rates, especially in Dhaka, which the current algorithm cannot account for.</w:t>
      </w:r>
    </w:p>
    <w:p>
      <w:pPr>
        <w:spacing w:after="80" w:line="276" w:lineRule="auto"/>
      </w:pPr>
      <w:r>
        <w:t>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Table 6), more cases are identified, but the specificity is lower (56.07%). This emphasises that algorithmic risk stratification should serve solely as a non-binding decision support indicator, augmented by human clinical judgement.</w:t>
      </w:r>
    </w:p>
    <w:p>
      <w:pPr>
        <w:spacing w:after="80" w:line="276" w:lineRule="auto"/>
      </w:pPr>
      <w:r>
        <w:t>5. Engineered composite features and Construct Adjacency: The 9 composite features operationalize theoretical JD-R demands and COR resources (</w:t>
      </w:r>
      <w:r>
        <w:rPr>
          <w:rFonts w:ascii="Consolas" w:hAnsi="Consolas"/>
          <w:rFonts w:ascii="Consolas" w:hAnsi="Consolas" w:cs="Consolas"/>
          <w:color w:val="1E293B"/>
        </w:rPr>
        <w:t>academic_performance_index</w:t>
      </w:r>
      <w:r>
        <w:t xml:space="preserve"> $r = -0.246$, </w:t>
      </w:r>
      <w:r>
        <w:rPr>
          <w:rFonts w:ascii="Consolas" w:hAnsi="Consolas"/>
          <w:rFonts w:ascii="Consolas" w:hAnsi="Consolas" w:cs="Consolas"/>
          <w:color w:val="1E293B"/>
        </w:rPr>
        <w:t>cgpa_midpoint</w:t>
      </w:r>
      <w:r>
        <w:t xml:space="preserve"> $r = -0.264$, </w:t>
      </w:r>
      <w:r>
        <w:rPr>
          <w:rFonts w:ascii="Consolas" w:hAnsi="Consolas"/>
          <w:rFonts w:ascii="Consolas" w:hAnsi="Consolas" w:cs="Consolas"/>
          <w:color w:val="1E293B"/>
        </w:rPr>
        <w:t>screen_to_sleep_ratio</w:t>
      </w:r>
      <w:r>
        <w:t xml:space="preserve"> $r = 0.219$, </w:t>
      </w:r>
      <w:r>
        <w:rPr>
          <w:rFonts w:ascii="Consolas" w:hAnsi="Consolas"/>
          <w:rFonts w:ascii="Consolas" w:hAnsi="Consolas" w:cs="Consolas"/>
          <w:color w:val="1E293B"/>
        </w:rPr>
        <w:t>burnout_vulnerability_index</w:t>
      </w:r>
      <w:r>
        <w:t xml:space="preserve"> $r = 0.183$, </w:t>
      </w:r>
      <w:r>
        <w:rPr>
          <w:rFonts w:ascii="Consolas" w:hAnsi="Consolas"/>
          <w:rFonts w:ascii="Consolas" w:hAnsi="Consolas" w:cs="Consolas"/>
          <w:color w:val="1E293B"/>
        </w:rPr>
        <w:t>motivation_deficit_score</w:t>
      </w:r>
      <w:r>
        <w:t xml:space="preserve"> $r = 0.151$, </w:t>
      </w:r>
      <w:r>
        <w:rPr>
          <w:rFonts w:ascii="Consolas" w:hAnsi="Consolas"/>
          <w:rFonts w:ascii="Consolas" w:hAnsi="Consolas" w:cs="Consolas"/>
          <w:color w:val="1E293B"/>
        </w:rPr>
        <w:t>wellbeing_buffer</w:t>
      </w:r>
      <w:r>
        <w:t xml:space="preserve"> $r = -0.076$). While feature ablation (Section 6.1.1) confirmed that composite indices provide genuine empirical gains for non-linear tree models (+1.84% accuracy and +0.0238 AUC for Random Forest) without direct target leakage, these indices are construct-adjacent to the target, measuring concurrent behavioural and psychological strain rather than orthogonal physiological biomarkers.</w:t>
      </w:r>
    </w:p>
    <w:p>
      <w:pPr>
        <w:spacing w:after="80" w:line="276" w:lineRule="auto"/>
      </w:pPr>
      <w:r>
        <w:t>6. Authors’ Reflexivity and Dual-Role Limitation: The first author was responsible for survey collection, ML pipeline development, and qualitative coding. We used temporal separation (open qualitative coding prior to SHAP execution) and a 25% independent inter-rater check (Cohen’s $\kappa = 0.82$). Because qualitative sampling was stratified across pre-assigned survey burnout tiers, 100% concordance with interview-day self-reports reflects stratum stability rather than an independent blind validation.</w:t>
      </w:r>
    </w:p>
    <w:p>
      <w:pPr>
        <w:spacing w:after="80" w:line="276" w:lineRule="auto"/>
      </w:pPr>
      <w:r>
        <w:t>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Table 7,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[124, 125]. Moreover, the cohort was restricted to Bangladeshi universities, and thus the specific institutional dynamics – including the stigma of the National University system – may not directly translate to Western higher education contexts.</w:t>
      </w:r>
    </w:p>
    <w:p>
      <w:pPr>
        <w:spacing w:after="80" w:line="276" w:lineRule="auto"/>
      </w:pPr>
      <w:r>
        <w:t>8. Qualitative Subgroup Sample Constraints: Similarly, the emergent qualitative theme of 'low-pressure institutional burnout' was identified from the two National University participants ($n = 2$) included in the purposive interview sample ($N = 20$). While providing rich hypothesis-generating context on institutional stigma, this sub-group finding should be interpreted as exploratory pending larger dedicated investigations.</w:t>
      </w:r>
    </w:p>
    <w:p>
      <w:pPr>
        <w:spacing w:after="80" w:line="276" w:lineRule="auto"/>
      </w:pPr>
      <w:r>
        <w:t>9. Multi-Institutional Clustering and Non-Independence of Observations: Survey participants were recruited across 11 distinct higher education institutions (8 private, 1 public, 2 National University affiliated colleges). Standard classification algorithms and inferential statistics treated the sample as pooled independent observations without explicit hierarchical linear modeling or institutional random effects. Unmodeled intraclass correlations (ICC) across campuses represent an unmeasured source of institutional clustering that multi-level modeling should address in future work.</w:t>
      </w:r>
    </w:p>
    <w:p>
      <w:pPr>
        <w:spacing w:after="80" w:line="276" w:lineRule="auto"/>
      </w:pPr>
      <w:r>
        <w:t>10. Unmeasured Disciplinary Confounders: Academic major (e.g., Computer Science and Engineering vs. Humanities vs. Business) was omitted from the quantitative survey to safeguard student anonymity, despite qualitative evidence that engineering students experience distinct curriculum and grading pressures. Future survey administrations should include broad discipline categorizations.</w:t>
      </w:r>
    </w:p>
    <w:p>
      <w:pPr>
        <w:spacing w:after="80" w:line="276" w:lineRule="auto"/>
      </w:pPr>
      <w:r>
        <w:t>11. Discrete Interval-Midpoint Scaling: Daily time budgets (study, sleep, social media, exercise), attendance, and CGPA were collected as categorical interval brackets to maximize response completion and subsequently converted to discrete midpoints (Table 2). While effective for exploratory survey modeling, these binned approximations lack the granularity of continuous sensor-derived time tracking.</w:t>
      </w:r>
    </w:p>
    <w:p>
      <w:pPr>
        <w:spacing w:after="80" w:line="276" w:lineRule="auto"/>
      </w:pPr>
      <w:r>
        <w:t>12. Qualitative Low Burnout Subsample Under-Representation: The purposive qualitative sample (N = 20) was stratified to prioritise participants with moderate and high burnout severity, resulting in only n = 2 Low Burnout participants (P5, P7). While this distribution reflects the quantitative prevalence imbalance in the original sample (Low Burnout: 19.47%), it substantially limits the interpretive evidence base for protective-factor analysis and comparisons between low- and high-burnout experience. Any qualitative claims regarding "protective" lifestyle patterns in Low Burnout students are derived from a thin evidential base and should be interpreted with corresponding caution.</w:t>
      </w:r>
    </w:p>
    <w:p>
      <w:pPr>
        <w:pStyle w:val="Heading4"/>
        <w:spacing w:before="160" w:after="40"/>
      </w:pPr>
      <w:r>
        <w:t>9.10.2 Directions for Future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identified a modest, statistically significant, predictive signal for student burnout. The best-performing Random Forest and Soft Voting Ensemble models achieved cross-validated accuracy of 65.89% (ROC-AUC = 0.7126) and 65.89% (ROC-AUC = 0.7069) respectively on inherently noisy self-report data — representing an 8.32 percentage-point gain over the majority baseline and a meaningful exploratory screening signal above chance-level prediction.</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contextualised this computational hierarchy. The qualitative stream showed strong convergence with the SHAP values and identified a consistent co-occurrence pattern: students reporting extreme career anxiety (CGPA pressure or institutional stigma) concurrently reported high social media use (often 5 hours/day) as a maladaptive coping mechanism, which appeared to displace restorative sleep and co-occur with chronic burnout. Crucially, the qualitative analysis also identified an exploratory finding of “low-pressure burnout” among National University students, in which exhaustion appeared to be associated with institutional marginalisation and career hopelessness rather than heavy academic workload — a hypothesis-generating pattern warranting confirmatory investigation in dedicated future studies.</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 xml:space="preserve">6. Translate Empirical Models into Accessible Web-Based Screening Tools. To bridge the gap between academic machine learning research and immediate student support, the study's champion Random Forest classifier, composite index formulations, calibrated screening thresholds ($\theta = 0.38$), and game-theoretic SHAP feature-attribution engine have been implemented as an open-access, privacy-first web application ("Burnout Radar", publicly hosted at: </w:t>
      </w:r>
      <w:r>
        <w:rPr>
          <w:rFonts w:ascii="Consolas" w:hAnsi="Consolas"/>
          <w:rFonts w:ascii="Consolas" w:hAnsi="Consolas" w:cs="Consolas"/>
          <w:color w:val="1E293B"/>
        </w:rPr>
        <w:t>https://burnoutwebapplication.netlify.app/</w:t>
      </w:r>
      <w:r>
        <w:t>). This platform allows university students to privately evaluate their behavioral risk factors (such as screen-to-sleep displacement) without transmitting or storing personal data, providing personalized mitigation strategies alongside verified Bangladesh mental health crisis contacts (e.g., Kaan Pete Roi: +880 1779 554391, National Mental Health Helpline: 16122).</w:t>
      </w:r>
    </w:p>
    <w:p>
      <w:pPr>
        <w:pStyle w:val="Heading2"/>
        <w:spacing w:before="240" w:after="80"/>
      </w:pPr>
      <w:r>
        <w:rPr>
          <w:color w:val="1E3A8A"/>
        </w:rPr>
        <w:t>Declarations</w:t>
      </w:r>
    </w:p>
    <w:p>
      <w:pPr>
        <w:pStyle w:val="Heading3"/>
        <w:spacing w:before="200" w:after="60"/>
      </w:pPr>
      <w:r>
        <w:rPr>
          <w:color w:val="047857"/>
        </w:rPr>
        <w:t>Ethics Approval and Consent to Participate</w:t>
      </w:r>
    </w:p>
    <w:p>
      <w:pPr>
        <w:spacing w:after="80" w:line="276" w:lineRule="auto"/>
      </w:pPr>
      <w:r>
        <w:t>This study was conducted in accordance with the ethical principles outlined in the Declaration of Helsinki for research involving human subjects. The target population comprised university students enrolled in tertiary education institutions in Bangladesh, including a freshman transition cohort (aged 17–18 years) who had completed Higher Secondary Certificate (HSC) examinations and transitioned into undergraduate study. Because the research involved an observational, non-invasive cross-sectional survey and voluntary qualitative interviews carrying minimal psychological risk, participation was strictly voluntary. Formal ethics committee review was exempt under institutional minimal-risk educational research guidelines of the Department of Computer Science and Engineering, Presidency University, Dhaka-1212, Bangladesh (exemption category: anonymous observational survey research involving no deception, no sensitive personal data collection beyond academic self-report, and no intervention). Electronic informed consent was explicitly obtained from all respondents prior to survey participation and qualitative interviewing, explaining the study purpose, voluntary nature, right to withdraw, and data handling procedures. Full anonymity was strictly maintained across all published data and quotes using standardized pseudonyms, and de-identified data were stored securely in encrypted storage.</w:t>
      </w:r>
    </w:p>
    <w:p>
      <w:pPr>
        <w:pStyle w:val="Heading3"/>
        <w:spacing w:before="200" w:after="60"/>
      </w:pPr>
      <w:r>
        <w:rPr>
          <w:color w:val="047857"/>
        </w:rPr>
        <w:t>Consent for Publication</w:t>
      </w:r>
    </w:p>
    <w:p>
      <w:pPr>
        <w:spacing w:after="80" w:line="276" w:lineRule="auto"/>
      </w:pPr>
      <w:r>
        <w:t>All participants granted explicit consent for anonymized statistical data and verbatim qualitative quotes to be published in peer-reviewed scientific journals.</w:t>
      </w:r>
    </w:p>
    <w:p>
      <w:pPr>
        <w:pStyle w:val="Heading3"/>
        <w:spacing w:before="200" w:after="60"/>
      </w:pPr>
      <w:r>
        <w:rPr>
          <w:color w:val="047857"/>
        </w:rPr>
        <w:t>Availability of Data and Materials</w:t>
      </w:r>
    </w:p>
    <w:p>
      <w:pPr>
        <w:spacing w:after="80" w:line="276" w:lineRule="auto"/>
      </w:pPr>
      <w:r>
        <w:t>The complete de-identified quantitative survey dataset (</w:t>
      </w:r>
      <w:r>
        <w:rPr>
          <w:rFonts w:ascii="Consolas" w:hAnsi="Consolas"/>
          <w:rFonts w:ascii="Consolas" w:hAnsi="Consolas" w:cs="Consolas"/>
          <w:color w:val="1E293B"/>
        </w:rPr>
        <w:t>Quantitative_Survey_Data.xlsx</w:t>
      </w:r>
      <w:r>
        <w:t>), anonymized qualitative interview codebook and transcript excerpt table (</w:t>
      </w:r>
      <w:r>
        <w:rPr>
          <w:rFonts w:ascii="Consolas" w:hAnsi="Consolas"/>
          <w:rFonts w:ascii="Consolas" w:hAnsi="Consolas" w:cs="Consolas"/>
          <w:color w:val="1E293B"/>
        </w:rPr>
        <w:t>Qualitative_Interview_Transcripts_Anonymized.pdf</w:t>
      </w:r>
      <w:r>
        <w:t>), modular feature engineering script (</w:t>
      </w:r>
      <w:r>
        <w:rPr>
          <w:rFonts w:ascii="Consolas" w:hAnsi="Consolas"/>
          <w:rFonts w:ascii="Consolas" w:hAnsi="Consolas" w:cs="Consolas"/>
          <w:color w:val="1E293B"/>
        </w:rPr>
        <w:t>feature_engineering.py</w:t>
      </w:r>
      <w:r>
        <w:t>), machine learning training script (</w:t>
      </w:r>
      <w:r>
        <w:rPr>
          <w:rFonts w:ascii="Consolas" w:hAnsi="Consolas"/>
          <w:rFonts w:ascii="Consolas" w:hAnsi="Consolas" w:cs="Consolas"/>
          <w:color w:val="1E293B"/>
        </w:rPr>
        <w:t>train_ml.py</w:t>
      </w:r>
      <w:r>
        <w:t>), SHAP evaluation pipeline (</w:t>
      </w:r>
      <w:r>
        <w:rPr>
          <w:rFonts w:ascii="Consolas" w:hAnsi="Consolas"/>
          <w:rFonts w:ascii="Consolas" w:hAnsi="Consolas" w:cs="Consolas"/>
          <w:color w:val="1E293B"/>
        </w:rPr>
        <w:t>run_shap.py</w:t>
      </w:r>
      <w:r>
        <w:t>), exact runtime dependency manifest (</w:t>
      </w:r>
      <w:r>
        <w:rPr>
          <w:rFonts w:ascii="Consolas" w:hAnsi="Consolas"/>
          <w:rFonts w:ascii="Consolas" w:hAnsi="Consolas" w:cs="Consolas"/>
          <w:color w:val="1E293B"/>
        </w:rPr>
        <w:t>requirements.txt</w:t>
      </w:r>
      <w:r>
        <w:t>), manuscript source (</w:t>
      </w:r>
      <w:r>
        <w:rPr>
          <w:rFonts w:ascii="Consolas" w:hAnsi="Consolas"/>
          <w:rFonts w:ascii="Consolas" w:hAnsi="Consolas" w:cs="Consolas"/>
          <w:color w:val="1E293B"/>
        </w:rPr>
        <w:t>Manuscript_Student_Burnout.md</w:t>
      </w:r>
      <w:r>
        <w:t xml:space="preserve">), and research repository are publicly deposited and freely available in an open-access GitHub repository at: </w:t>
      </w:r>
      <w:r>
        <w:rPr>
          <w:rFonts w:ascii="Consolas" w:hAnsi="Consolas"/>
          <w:rFonts w:ascii="Consolas" w:hAnsi="Consolas" w:cs="Consolas"/>
          <w:color w:val="1E293B"/>
        </w:rPr>
        <w:t>https://github.com/rifatmiah92/student-burnout-ml-mixed-methods</w:t>
      </w:r>
      <w:r>
        <w:t xml:space="preserve">. Furthermore, the interactive, client-side web screening application is deployed and publicly accessible at: </w:t>
      </w:r>
      <w:r>
        <w:rPr>
          <w:rFonts w:ascii="Consolas" w:hAnsi="Consolas"/>
          <w:rFonts w:ascii="Consolas" w:hAnsi="Consolas" w:cs="Consolas"/>
          <w:color w:val="1E293B"/>
        </w:rPr>
        <w:t>https://burnoutwebapplication.netlify.app/</w:t>
      </w:r>
      <w:r>
        <w:t xml:space="preserve"> (with source code repository at: </w:t>
      </w:r>
      <w:r>
        <w:rPr>
          <w:rFonts w:ascii="Consolas" w:hAnsi="Consolas"/>
          <w:rFonts w:ascii="Consolas" w:hAnsi="Consolas" w:cs="Consolas"/>
          <w:color w:val="1E293B"/>
        </w:rPr>
        <w:t>https://github.com/rifatmiah92/Burnout-web-application</w:t>
      </w:r>
      <w:r>
        <w:t>).</w:t>
      </w:r>
    </w:p>
    <w:p>
      <w:pPr>
        <w:pStyle w:val="Heading3"/>
        <w:spacing w:before="200" w:after="60"/>
      </w:pPr>
      <w:r>
        <w:rPr>
          <w:color w:val="047857"/>
        </w:rP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pStyle w:val="Heading3"/>
        <w:spacing w:before="200" w:after="60"/>
      </w:pPr>
      <w:r>
        <w:rPr>
          <w:color w:val="047857"/>
        </w:rPr>
        <w:t>Funding Statement</w:t>
      </w:r>
    </w:p>
    <w:p>
      <w:pPr>
        <w:spacing w:after="80" w:line="276" w:lineRule="auto"/>
      </w:pPr>
      <w:r>
        <w:t xml:space="preserve">This research received no specific grant or financial support from any funding agency in the public, commercial, or not-for-profit sectors. All research activities were conducted independently by the authors as part of academic scholarship activities. The study was funded entirely by the authors' own resources. </w:t>
      </w:r>
      <w:r>
        <w:rPr>
          <w:i/>
        </w:rPr>
        <w:t>(TRIPOD Item 18 Compliance: No external funding was received for this study.)</w:t>
      </w:r>
    </w:p>
    <w:p>
      <w:pPr>
        <w:pStyle w:val="Heading3"/>
        <w:spacing w:before="200" w:after="60"/>
      </w:pPr>
      <w:r>
        <w:rPr>
          <w:color w:val="047857"/>
        </w:rPr>
        <w:t>Acknowledgements</w:t>
      </w:r>
    </w:p>
    <w:p>
      <w:pPr>
        <w:spacing w:after="80" w:line="276" w:lineRule="auto"/>
      </w:pPr>
      <w:r>
        <w:t>The authors wish to thank all 601 survey participants and the 20 qualitative interview participants for generously contributing their time and experiences to this research. We thank the 11 participating higher education institutions in Bangladesh for facilitating student access. We thank the anonymous second qualitative coder for their independent coding contribution (inter-rater reliability κ = 0.82). We acknowledge that the open-source scientific ecosystem — particularly scikit-learn, SHAP, Python, and the Netlify deployment platform — made the computational and deployment components of this research freely accessible.</w:t>
      </w:r>
    </w:p>
    <w:p>
      <w:pPr>
        <w:pStyle w:val="Heading3"/>
        <w:spacing w:before="200" w:after="60"/>
      </w:pPr>
      <w:r>
        <w:rPr>
          <w:color w:val="047857"/>
        </w:rP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1"/>
        <w:spacing w:before="280" w:after="120"/>
      </w:pPr>
      <w:r>
        <w:rPr>
          <w:color w:val="0F172A"/>
        </w:rPr>
        <w:t>References</w:t>
      </w:r>
    </w:p>
    <w:p>
      <w:pPr>
        <w:spacing w:after="80" w:line="276" w:lineRule="auto"/>
        <w:ind w:left="432" w:hanging="432"/>
      </w:pPr>
      <w:r>
        <w:t>[1] Madigan, D. J., &amp; Curran, T. (2021). Does burnout affect academic achievement? A meta-analysis of over 100,000 students. Educational Psychology Review, 33(2), 387-405. https://doi.org/10.1007/s10648-020-09533-1</w:t>
      </w:r>
    </w:p>
    <w:p>
      <w:pPr>
        <w:spacing w:after="80" w:line="276" w:lineRule="auto"/>
        <w:ind w:left="432" w:hanging="432"/>
      </w:pPr>
      <w:r>
        <w:t>[2] Maslach, C., &amp; Leiter, M. P. (2016). Understanding the burnout experience: Recent research and its implications for psychiatry. World Psychiatry, 15(2), 103-111. https://doi.org/10.1002/wps.20311</w:t>
      </w:r>
    </w:p>
    <w:p>
      <w:pPr>
        <w:spacing w:after="80" w:line="276" w:lineRule="auto"/>
        <w:ind w:left="432" w:hanging="432"/>
      </w:pPr>
      <w:r>
        <w:t>[3] Salmela-Aro, K., &amp; Read, S. (2017). Study engagement and burnout profiles among Finnish higher education students. Burnout Research, 7, 21-28. https://doi.org/10.1016/j.burn.2017.11.001</w:t>
      </w:r>
    </w:p>
    <w:p>
      <w:pPr>
        <w:spacing w:after="80" w:line="276" w:lineRule="auto"/>
        <w:ind w:left="432" w:hanging="432"/>
      </w:pPr>
      <w:r>
        <w:t>[4] Vizoso, C., Arias-Gundin, O., &amp; Rodriguez, C. (2019). Coping, academic engagement and performance in university students. Higher Education Research &amp; Development, 38(7), 1515-1529. https://doi.org/10.1080/07294360.2018.1504006</w:t>
      </w:r>
    </w:p>
    <w:p>
      <w:pPr>
        <w:spacing w:after="80" w:line="276" w:lineRule="auto"/>
        <w:ind w:left="432" w:hanging="432"/>
      </w:pPr>
      <w:r>
        <w:t>[5] World Health Organization. (2019). International statistical classification of diseases and related health problems (11th ed.). World Health Organization. https://icd.who.int/</w:t>
      </w:r>
    </w:p>
    <w:p>
      <w:pPr>
        <w:spacing w:after="80" w:line="276" w:lineRule="auto"/>
        <w:ind w:left="432" w:hanging="432"/>
      </w:pPr>
      <w:r>
        <w:t>[6] Maslach, C., Schaufeli, W. B., &amp; Leiter, M. P. (2001). Job burnout. Annual Review of Psychology, 52(1), 397-422. https://doi.org/10.1146/annurev.psych.52.1.397</w:t>
      </w:r>
    </w:p>
    <w:p>
      <w:pPr>
        <w:spacing w:after="80" w:line="276" w:lineRule="auto"/>
        <w:ind w:left="432" w:hanging="432"/>
      </w:pPr>
      <w:r>
        <w:t>[7] Schaufeli, W. B., Martinez, I. M., Pinto, A. M., Salanova, M., &amp; Bakker, A. B. (2002). Burnout and engagement in university students: A cross-national study. Journal of Cross-Cultural Psychology, 33(5), 464-481. https://doi.org/10.1177/0022022102033005003</w:t>
      </w:r>
    </w:p>
    <w:p>
      <w:pPr>
        <w:spacing w:after="80" w:line="276" w:lineRule="auto"/>
        <w:ind w:left="432" w:hanging="432"/>
      </w:pPr>
      <w:r>
        <w:t>[8] Frajerman, A., Morvan, Y., Krebs, M. O., Gorwood, P., &amp; Chaumette, B. (2019). Burnout in medical students before residency: A systematic review and meta-analysis. European Psychiatry, 55, 36-42. https://doi.org/10.1016/j.eurpsy.2018.08.006</w:t>
      </w:r>
    </w:p>
    <w:p>
      <w:pPr>
        <w:spacing w:after="80" w:line="276" w:lineRule="auto"/>
        <w:ind w:left="432" w:hanging="432"/>
      </w:pPr>
      <w:r>
        <w:t>[9] Erschens, R., Keifenheim, K. E., Herrmann-Werner, A., Loda, T., Schwille-Kiuntke, J., Bugaj, T. J., Nikendei, C., Huhn, D., Zipfel, S., &amp; Junne, F. (2019). Professional burnout among medical students: Systematic literature review and meta-analysis. Medical Teacher, 41(2), 172-183. https://doi.org/10.1080/0142159X.2018.1457213</w:t>
      </w:r>
    </w:p>
    <w:p>
      <w:pPr>
        <w:spacing w:after="80" w:line="276" w:lineRule="auto"/>
        <w:ind w:left="432" w:hanging="432"/>
      </w:pPr>
      <w:r>
        <w:t>[10] Almutairi, H., Alsubaiei, A., Abduljawad, S., Alshatti, A., Fekih-Romdhane, F., Husni, M., &amp; Jahrami, H. (2022). Prevalence of burnout in medical students: A systematic review and meta-analysis. International Journal of Social Psychiatry, 68(6), 1157-1170. https://doi.org/10.1177/00207640221106691</w:t>
      </w:r>
    </w:p>
    <w:p>
      <w:pPr>
        <w:spacing w:after="80" w:line="276" w:lineRule="auto"/>
        <w:ind w:left="432" w:hanging="432"/>
      </w:pPr>
      <w:r>
        <w:t>[11] Islam, M. S., Sujan, M. S. H., Tasnim, R., Sikder, M. T., Potenza, M. N., &amp; van Os, J. (2020). Psychological responses during the COVID-19 outbreak among university students in Bangladesh. PLOS ONE, 15(12), e0244109. https://doi.org/10.1371/journal.pone.0244109</w:t>
      </w:r>
    </w:p>
    <w:p>
      <w:pPr>
        <w:spacing w:after="80" w:line="276" w:lineRule="auto"/>
        <w:ind w:left="432" w:hanging="432"/>
      </w:pPr>
      <w:r>
        <w:t>[12] Mamun, M. A., Hossain, M. S., Siddique, A. B., Sikder, M. T., Kuss, D. J., &amp; Griffiths, M. D. (2021). Problematic internet use in Bangladeshi students: The role of socio-demographic factors, depression, anxiety, and stress. Asian Journal of Psychiatry, 44, 48-54. https://doi.org/10.1016/j.ajp.2019.07.005</w:t>
      </w:r>
    </w:p>
    <w:p>
      <w:pPr>
        <w:spacing w:after="80" w:line="276" w:lineRule="auto"/>
        <w:ind w:left="432" w:hanging="432"/>
      </w:pPr>
      <w:r>
        <w:t>[13]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ind w:left="432" w:hanging="432"/>
      </w:pPr>
      <w:r>
        <w:t>[14] Faisal, R. A., Jobe, M. C., Ahmed, O., &amp; Sharker, T. (2022). Mental health status, anxiety, and depression levels of Bangladeshi university students during the COVID-19 pandemic. International Journal of Mental Health and Addiction, 20(3), 1500-1515. https://doi.org/10.1007/s11469-020-00458-y</w:t>
      </w:r>
    </w:p>
    <w:p>
      <w:pPr>
        <w:spacing w:after="80" w:line="276" w:lineRule="auto"/>
        <w:ind w:left="432" w:hanging="432"/>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ind w:left="432" w:hanging="432"/>
      </w:pPr>
      <w:r>
        <w:t>[16] Manzano-Garcia, G., &amp; Ayala-Calvo, J. C. (2013). New perspectives: Towards an integration of the concept "burnout" and its explanatory models. Anales de Psicologia, 29(3), 800-809. https://doi.org/10.6018/analesps.29.3.161241</w:t>
      </w:r>
    </w:p>
    <w:p>
      <w:pPr>
        <w:spacing w:after="80" w:line="276" w:lineRule="auto"/>
        <w:ind w:left="432" w:hanging="432"/>
      </w:pPr>
      <w:r>
        <w:t>[17] Hastie, T., Tibshirani, R., &amp; Friedman, J. (2009). The elements of statistical learning: Data mining, inference, and prediction (2nd ed.). Springer. https://doi.org/10.1007/978-0-387-84858-7</w:t>
      </w:r>
    </w:p>
    <w:p>
      <w:pPr>
        <w:spacing w:after="80" w:line="276" w:lineRule="auto"/>
        <w:ind w:left="432" w:hanging="432"/>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ind w:left="432" w:hanging="432"/>
      </w:pPr>
      <w:r>
        <w:t>[19] Iatrellis, O., Savvas, I. K., Fitsilis, P., &amp; Gerogiannis, V. C. (2021). A two-phase machine learning approach for predicting student outcomes. Education and Information Technologies, 26(1), 69-88. https://doi.org/10.1007/s10639-020-10260-x</w:t>
      </w:r>
    </w:p>
    <w:p>
      <w:pPr>
        <w:spacing w:after="80" w:line="276" w:lineRule="auto"/>
        <w:ind w:left="432" w:hanging="432"/>
      </w:pPr>
      <w:r>
        <w:t>[20] Namoun, A., &amp; Alshanqiti, A. (2021). Predicting student performance using data mining and learning analytics techniques: A systematic review. Applied Sciences, 11(1), 237. https://doi.org/10.3390/app11010237</w:t>
      </w:r>
    </w:p>
    <w:p>
      <w:pPr>
        <w:spacing w:after="80" w:line="276" w:lineRule="auto"/>
        <w:ind w:left="432" w:hanging="432"/>
      </w:pPr>
      <w:r>
        <w:t>[21] Gunning, D., Stefik, M., Choi, J., Miller, T., Stumpf, S., &amp; Yang, G. Z. (2019). XAI - Explainable artificial intelligence. Science Robotics, 4(37), eaay7120. https://doi.org/10.1126/scirobotics.aay7120</w:t>
      </w:r>
    </w:p>
    <w:p>
      <w:pPr>
        <w:spacing w:after="80" w:line="276" w:lineRule="auto"/>
        <w:ind w:left="432" w:hanging="432"/>
      </w:pPr>
      <w:r>
        <w:t>[22] Molnar, C. (2022). Interpretable machine learning: A guide for making black box models explainable (2nd ed.). Independently Published.</w:t>
      </w:r>
    </w:p>
    <w:p>
      <w:pPr>
        <w:spacing w:after="80" w:line="276" w:lineRule="auto"/>
        <w:ind w:left="432" w:hanging="432"/>
      </w:pPr>
      <w:r>
        <w:t>[23] Lundberg, S. M., &amp; Lee, S.-I. (2017). A unified approach to interpreting model predictions. Advances in Neural Information Processing Systems, 30, 4765-4774.</w:t>
      </w:r>
    </w:p>
    <w:p>
      <w:pPr>
        <w:spacing w:after="80" w:line="276" w:lineRule="auto"/>
        <w:ind w:left="432" w:hanging="432"/>
      </w:pPr>
      <w:r>
        <w:t>[24] Fisher, A., Rudin, C., &amp; Dominici, F. (2019). All models are wrong, but many are useful: Learning a variable's importance by studying an entire class of prediction models simultaneously. Journal of Machine Learning Research, 20(177), 1-81.</w:t>
      </w:r>
    </w:p>
    <w:p>
      <w:pPr>
        <w:spacing w:after="80" w:line="276" w:lineRule="auto"/>
        <w:ind w:left="432" w:hanging="432"/>
      </w:pPr>
      <w:r>
        <w:t>[25] Rajkomar, A., Hardt, M., Howell, M. D., Corrado, G., &amp; Kipnis, M. H. (2018). Ensuring fairness in machine learning to advance health equity. Annals of Internal Medicine, 169(12), 866-872. https://doi.org/10.7326/M18-1990</w:t>
      </w:r>
    </w:p>
    <w:p>
      <w:pPr>
        <w:spacing w:after="80" w:line="276" w:lineRule="auto"/>
        <w:ind w:left="432" w:hanging="432"/>
      </w:pPr>
      <w:r>
        <w:t>[26] Creswell, J. W., &amp; Plano Clark, V. L. (2018). Designing and conducting mixed methods research (3rd ed.). SAGE Publications.</w:t>
      </w:r>
    </w:p>
    <w:p>
      <w:pPr>
        <w:spacing w:after="80" w:line="276" w:lineRule="auto"/>
        <w:ind w:left="432" w:hanging="432"/>
      </w:pPr>
      <w:r>
        <w:t>[27] Tashakkori, A., &amp; Teddlie, C. (2010). SAGE handbook of mixed methods in social &amp; behavioral research (2nd ed.). SAGE Publications. https://doi.org/10.4135/9781506335193</w:t>
      </w:r>
    </w:p>
    <w:p>
      <w:pPr>
        <w:spacing w:after="80" w:line="276" w:lineRule="auto"/>
        <w:ind w:left="432" w:hanging="432"/>
      </w:pPr>
      <w:r>
        <w:t>[28] Denzin, N. K. (1978). The research act: A theoretical introduction to sociological methods (2nd ed.). McGraw-Hill.</w:t>
      </w:r>
    </w:p>
    <w:p>
      <w:pPr>
        <w:spacing w:after="80" w:line="276" w:lineRule="auto"/>
        <w:ind w:left="432" w:hanging="432"/>
      </w:pPr>
      <w:r>
        <w:t>[29] Johnson, R. B., Onwuegbuzie, A. J., &amp; Turner, L. A. (2007). Toward a definition of mixed methods research. Journal of Mixed Methods Research, 1(2), 112-133. https://doi.org/10.1177/1558689806298224</w:t>
      </w:r>
    </w:p>
    <w:p>
      <w:pPr>
        <w:spacing w:after="80" w:line="276" w:lineRule="auto"/>
        <w:ind w:left="432" w:hanging="432"/>
      </w:pPr>
      <w:r>
        <w:t>[30]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ind w:left="432" w:hanging="432"/>
      </w:pPr>
      <w:r>
        <w:t>[31]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p>
      <w:pPr>
        <w:spacing w:after="80" w:line="276" w:lineRule="auto"/>
        <w:ind w:left="432" w:hanging="432"/>
      </w:pPr>
      <w:r>
        <w:t>[32] Hobfoll, S. E. (1989). Conservation of resources: A new attempt at conceptualizing stress. American Psychologist, 44(3), 513-524. https://doi.org/10.1037/0003-066X.44.3.513</w:t>
      </w:r>
    </w:p>
    <w:p>
      <w:pPr>
        <w:spacing w:after="80" w:line="276" w:lineRule="auto"/>
        <w:ind w:left="432" w:hanging="432"/>
      </w:pPr>
      <w:r>
        <w:t>[33] Salmela-Aro, K., &amp; Upadyaya, K. (2014). School burnout and engagement in the context of demands-resources model. British Journal of Educational Psychology, 84(1), 137-151. https://doi.org/10.1111/bjep.12018</w:t>
      </w:r>
    </w:p>
    <w:p>
      <w:pPr>
        <w:spacing w:after="80" w:line="276" w:lineRule="auto"/>
        <w:ind w:left="432" w:hanging="432"/>
      </w:pPr>
      <w:r>
        <w:t>[34] Chen, T., &amp; Guestrin, C. (2016). XGBoost: A scalable tree boosting system. In Proceedings of the 22nd ACM SIGKDD International Conference on Knowledge Discovery and Data Mining (pp. 785-794). ACM. https://doi.org/10.1145/2939672.2939785</w:t>
      </w:r>
    </w:p>
    <w:p>
      <w:pPr>
        <w:spacing w:after="80" w:line="276" w:lineRule="auto"/>
        <w:ind w:left="432" w:hanging="432"/>
      </w:pPr>
      <w:r>
        <w:t>[35] Ke, G., Meng, Q., Finley, T., Wang, T., Chen, W., Ma, W., Ye, Q., &amp; Liu, T. Y. (2017). LightGBM: A highly efficient gradient boosting decision tree. Advances in Neural Information Processing Systems, 30, 3146-3154.</w:t>
      </w:r>
    </w:p>
    <w:p>
      <w:pPr>
        <w:spacing w:after="80" w:line="276" w:lineRule="auto"/>
        <w:ind w:left="432" w:hanging="432"/>
      </w:pPr>
      <w:r>
        <w:t>[36] Prokhorenkova, L., Gusev, G., Vorobev, A., Dorogush, A. V., &amp; Gulin, A. (2018). CatBoost: Unbiased boosting with categorical features. Advances in Neural Information Processing Systems, 31, 6638-6648.</w:t>
      </w:r>
    </w:p>
    <w:p>
      <w:pPr>
        <w:spacing w:after="80" w:line="276" w:lineRule="auto"/>
        <w:ind w:left="432" w:hanging="432"/>
      </w:pPr>
      <w:r>
        <w:t>[37] Hobfoll, S. E., Halbesleben, J., Neveu, J. P., &amp; Westman, M. (2018). Conservation of resources in the organizational context: The reality of resources and their consequences. Annual Review of Organizational Psychology and Organizational Behavior, 5, 103-128. https://doi.org/10.1146/annurev-orgpsych-032117-104640</w:t>
      </w:r>
    </w:p>
    <w:p>
      <w:pPr>
        <w:spacing w:after="80" w:line="276" w:lineRule="auto"/>
        <w:ind w:left="432" w:hanging="432"/>
      </w:pPr>
      <w:r>
        <w:t>[38] Bakker, A. B., &amp; Demerouti, E. (2007). The job demands-resources model: State of the art. Journal of Managerial Psychology, 22(3), 309-328. https://doi.org/10.1108/02683940710733115</w:t>
      </w:r>
    </w:p>
    <w:p>
      <w:pPr>
        <w:spacing w:after="80" w:line="276" w:lineRule="auto"/>
        <w:ind w:left="432" w:hanging="432"/>
      </w:pPr>
      <w:r>
        <w:t>[39] Bakker, A. B., &amp; Demerouti, E. (2017). Job demands-resources theory: Taking stock and looking forward. Journal of Occupational Health Psychology, 22(3), 273-285. https://doi.org/10.1037/ocp0000056</w:t>
      </w:r>
    </w:p>
    <w:p>
      <w:pPr>
        <w:spacing w:after="80" w:line="276" w:lineRule="auto"/>
        <w:ind w:left="432" w:hanging="432"/>
      </w:pPr>
      <w:r>
        <w:t>[40] Ryan, R. M., &amp; Deci, E. L. (2017). Self-determination theory: Basic psychological needs in motivation, development, and wellness. Guilford Publications. https://doi.org/10.1521/978.14625/28806</w:t>
      </w:r>
    </w:p>
    <w:p>
      <w:pPr>
        <w:spacing w:after="80" w:line="276" w:lineRule="auto"/>
        <w:ind w:left="432" w:hanging="432"/>
      </w:pPr>
      <w:r>
        <w:t>[41] Deci, E. L., &amp; Ryan, R. M. (2000). The "what" and "why" of goal pursuits: Human needs and the self-determination of behavior. Psychological Inquiry, 11(4), 227-268. https://doi.org/10.1207/S15327965PLI1104_01</w:t>
      </w:r>
    </w:p>
    <w:p>
      <w:pPr>
        <w:spacing w:after="80" w:line="276" w:lineRule="auto"/>
        <w:ind w:left="432" w:hanging="432"/>
      </w:pPr>
      <w:r>
        <w:t>[42] Steyerberg, E. W., &amp; Harrell, F. E. (2016). Prediction models need appropriate internal, internal-external, and external validation. Journal of Clinical Epidemiology, 69, 245-247. https://doi.org/10.1016/j.jclinepi.2015.04.005</w:t>
      </w:r>
    </w:p>
    <w:p>
      <w:pPr>
        <w:spacing w:after="80" w:line="276" w:lineRule="auto"/>
        <w:ind w:left="432" w:hanging="432"/>
      </w:pPr>
      <w:r>
        <w:t>[43] Freudenberger, H. J. (1974). Staff burn-out. Journal of Social Issues, 30(1), 159-165. https://doi.org/10.1111/j.1540-4560.1974.tb00706.x</w:t>
      </w:r>
    </w:p>
    <w:p>
      <w:pPr>
        <w:spacing w:after="80" w:line="276" w:lineRule="auto"/>
        <w:ind w:left="432" w:hanging="432"/>
      </w:pPr>
      <w:r>
        <w:t>[44] Maslach, C., &amp; Jackson, S. E. (1981). The measurement of experienced burnout. Journal of Occupational Behavior, 2(2), 99-113. https://doi.org/10.1002/job.4030020205</w:t>
      </w:r>
    </w:p>
    <w:p>
      <w:pPr>
        <w:spacing w:after="80" w:line="276" w:lineRule="auto"/>
        <w:ind w:left="432" w:hanging="432"/>
      </w:pPr>
      <w:r>
        <w:t>[45] Schaufeli, W. B., Bakker, A. B., &amp; Van Rhenen, W. (2009). How changes in job demands and resources predict burnout, work engagement, and sickness absenteeism. Journal of Organizational Behavior, 30(7), 893-917. https://doi.org/10.1002/job.595</w:t>
      </w:r>
    </w:p>
    <w:p>
      <w:pPr>
        <w:spacing w:after="80" w:line="276" w:lineRule="auto"/>
        <w:ind w:left="432" w:hanging="432"/>
      </w:pPr>
      <w:r>
        <w:t>[46] Fazullina, G., Sagitova, R., &amp; Khakimova, R. (2020). Burnout syndrome among university students. Revista Inclusiones, 7, 223-233.</w:t>
      </w:r>
    </w:p>
    <w:p>
      <w:pPr>
        <w:spacing w:after="80" w:line="276" w:lineRule="auto"/>
        <w:ind w:left="432" w:hanging="432"/>
      </w:pPr>
      <w:r>
        <w:t>[47] Robins, T. G., Roberts, R. M., &amp; Sarris, A. (2018). Burnout and engagement in health profession students. Nurse Education Today, 69, 100-104. https://doi.org/10.1016/j.nedt.2018.07.004</w:t>
      </w:r>
    </w:p>
    <w:p>
      <w:pPr>
        <w:spacing w:after="80" w:line="276" w:lineRule="auto"/>
        <w:ind w:left="432" w:hanging="432"/>
      </w:pPr>
      <w:r>
        <w:t>[48]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ind w:left="432" w:hanging="432"/>
      </w:pPr>
      <w:r>
        <w:t>[49] Lin, S. H., &amp; Huang, Y. C. (2014). Life stress and academic burnout. Active Learning in Higher Education, 15(1), 77-90. https://doi.org/10.1177/1469787413514651</w:t>
      </w:r>
    </w:p>
    <w:p>
      <w:pPr>
        <w:spacing w:after="80" w:line="276" w:lineRule="auto"/>
        <w:ind w:left="432" w:hanging="432"/>
      </w:pPr>
      <w:r>
        <w:t>[50] Walburg, V. (2014). Burnout among high school students: A literature review. Children and Youth Services Review, 42, 28-33. https://doi.org/10.1016/j.childyouth.2014.03.020</w:t>
      </w:r>
    </w:p>
    <w:p>
      <w:pPr>
        <w:spacing w:after="80" w:line="276" w:lineRule="auto"/>
        <w:ind w:left="432" w:hanging="432"/>
      </w:pPr>
      <w:r>
        <w:t>[51] Koutsimani, P., Montgomery, A., &amp; Georganta, K. (2019). The relationship between burnout, depression, and anxiety: A systematic review and meta-analysis. Frontiers in Psychology, 10, 284. https://doi.org/10.3389/fpsyg.2019.00284</w:t>
      </w:r>
    </w:p>
    <w:p>
      <w:pPr>
        <w:spacing w:after="80" w:line="276" w:lineRule="auto"/>
        <w:ind w:left="432" w:hanging="432"/>
      </w:pPr>
      <w:r>
        <w:t>[52] Riaz, M., Ali, M., &amp; Tariq, A. (2021). Psychological burden and coping strategies among university students during times of systemic crisis. International Journal of Mental Health Systems, 15(1), 1-9. https://doi.org/10.1186/s13033-021-00468-2</w:t>
      </w:r>
    </w:p>
    <w:p>
      <w:pPr>
        <w:spacing w:after="80" w:line="276" w:lineRule="auto"/>
        <w:ind w:left="432" w:hanging="432"/>
      </w:pPr>
      <w:r>
        <w:t>[53] Shahidi, S., Akbari, H., &amp; Zargar, F. (2023). The role of anxiety sensitivity in academic burnout among university students. Current Psychology, 42(8), 6891-6900. https://doi.org/10.1007/s12144-021-02014-9</w:t>
      </w:r>
    </w:p>
    <w:p>
      <w:pPr>
        <w:spacing w:after="80" w:line="276" w:lineRule="auto"/>
        <w:ind w:left="432" w:hanging="432"/>
      </w:pPr>
      <w:r>
        <w:t>[54] Rahmati, Z. (2015). The study of academic burnout in students with high and low self-efficacy. Procedia - Social and Behavioral Sciences, 171, 49-55. https://doi.org/10.1016/j.sbspro.2015.01.087</w:t>
      </w:r>
    </w:p>
    <w:p>
      <w:pPr>
        <w:spacing w:after="80" w:line="276" w:lineRule="auto"/>
        <w:ind w:left="432" w:hanging="432"/>
      </w:pPr>
      <w:r>
        <w:t>[55] Jackson, E. R., Shanafelt, T. D., Hasan, O., Satele, D. V., &amp; Dyrbye, L. N. (2016). Burnout and alcohol abuse/dependence among US medical students. Academic Medicine, 91(9), 1251-1256. https://doi.org/10.1097/ACM.0000000000001138</w:t>
      </w:r>
    </w:p>
    <w:p>
      <w:pPr>
        <w:spacing w:after="80" w:line="276" w:lineRule="auto"/>
        <w:ind w:left="432" w:hanging="432"/>
      </w:pPr>
      <w:r>
        <w:t>[56] Dyrbye, L. N., Thomas, M. R., Massie, F. S., Power, D. V., Eacker, A., Harper, W., ... &amp; Shanafelt, T. D. (2008). Burnout and suicidal ideation among US medical students. Annals of Internal Medicine, 149(5), 334-341. https://doi.org/10.7326/0003-4819-149-5-200809020-00008</w:t>
      </w:r>
    </w:p>
    <w:p>
      <w:pPr>
        <w:spacing w:after="80" w:line="276" w:lineRule="auto"/>
        <w:ind w:left="432" w:hanging="432"/>
      </w:pPr>
      <w:r>
        <w:t>[57] Silva, R. M. D., Lopes, A. A. F., &amp; Ribeiro, H. K. P. (2022). Burnout syndrome among Brazilian university students. Revista Brasileira de Enfermagem, 75(4), e20210470. https://doi.org/10.1590/0034-7167-2021-0470</w:t>
      </w:r>
    </w:p>
    <w:p>
      <w:pPr>
        <w:spacing w:after="80" w:line="276" w:lineRule="auto"/>
        <w:ind w:left="432" w:hanging="432"/>
      </w:pPr>
      <w:r>
        <w:t>[58]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ind w:left="432" w:hanging="432"/>
      </w:pPr>
      <w:r>
        <w:t>[59] Dahlin, M. E., &amp; Runeson, B. (2007). Burnout and psychiatric morbidity among medical students entering clinical training. BMC Medical Education, 7(1), 1-8. https://doi.org/10.1186/1472-6920-7-6</w:t>
      </w:r>
    </w:p>
    <w:p>
      <w:pPr>
        <w:spacing w:after="80" w:line="276" w:lineRule="auto"/>
        <w:ind w:left="432" w:hanging="432"/>
      </w:pPr>
      <w:r>
        <w:t>[60]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ind w:left="432" w:hanging="432"/>
      </w:pPr>
      <w:r>
        <w:t>[61] Celik, E., &amp; Yildirim, T. (2022). Academic burnout among Turkish university students during the COVID-19 pandemic. International Journal of Educational Research Open, 3, 100147. https://doi.org/10.1016/j.ijedro.2022.100147</w:t>
      </w:r>
    </w:p>
    <w:p>
      <w:pPr>
        <w:spacing w:after="80" w:line="276" w:lineRule="auto"/>
        <w:ind w:left="432" w:hanging="432"/>
      </w:pPr>
      <w:r>
        <w:t>[62] Almeida, G. C., Souza, H. R., Almeida, P. C., Almeida, B. C., &amp; Almeida, G. H. (2021). The prevalence of burnout syndrome in medical students. Archives of Clinical Psychiatry, 48(1), 40-47. https://doi.org/10.1590/0101-60830000000282</w:t>
      </w:r>
    </w:p>
    <w:p>
      <w:pPr>
        <w:spacing w:after="80" w:line="276" w:lineRule="auto"/>
        <w:ind w:left="432" w:hanging="432"/>
      </w:pPr>
      <w:r>
        <w:t>[63] Bask, M., &amp; Salmela-Aro, K. (2013). Burned out to drop out: Exploring the relationship between school burnout and school dropout. European Journal of Psychology of Education, 28(2), 511-528. https://doi.org/10.1007/s10212-012-0126-5</w:t>
      </w:r>
    </w:p>
    <w:p>
      <w:pPr>
        <w:spacing w:after="80" w:line="276" w:lineRule="auto"/>
        <w:ind w:left="432" w:hanging="432"/>
      </w:pPr>
      <w:r>
        <w:t>[64] Bianchi, R., Schonfeld, I. S., &amp; Laurent, E. (2015). Burnout-depression overlap: A review. Clinical Psychology Review, 36, 28-41. https://doi.org/10.1016/j.cpr.2015.01.004</w:t>
      </w:r>
    </w:p>
    <w:p>
      <w:pPr>
        <w:spacing w:after="80" w:line="276" w:lineRule="auto"/>
        <w:ind w:left="432" w:hanging="432"/>
      </w:pPr>
      <w:r>
        <w:t>[65] Robotham, D., &amp; Julian, C. (2006). Stress and the higher education student: A critical review of the literature. Journal of Further and Higher Education, 30(2), 107-117. https://doi.org/10.1080/03098770600617562</w:t>
      </w:r>
    </w:p>
    <w:p>
      <w:pPr>
        <w:spacing w:after="80" w:line="276" w:lineRule="auto"/>
        <w:ind w:left="432" w:hanging="432"/>
      </w:pPr>
      <w:r>
        <w:t>[66] Alarcon, G., Eschleman, K. J., &amp; Bowling, N. A. (2009). Relationships between personality variables and burnout: A meta-analysis. Work &amp; Stress, 23(3), 244-263. https://doi.org/10.1080/02678370903282600</w:t>
      </w:r>
    </w:p>
    <w:p>
      <w:pPr>
        <w:spacing w:after="80" w:line="276" w:lineRule="auto"/>
        <w:ind w:left="432" w:hanging="432"/>
      </w:pPr>
      <w:r>
        <w:t>[67] Richardson, T., Elliott, P., &amp; Roberts, R. (2017). Relationship between loneliness and mental health in students. Journal of Public Mental Health, 16(2), 48-54. https://doi.org/10.1108/JPMH-03-2016-0013</w:t>
      </w:r>
    </w:p>
    <w:p>
      <w:pPr>
        <w:spacing w:after="80" w:line="276" w:lineRule="auto"/>
        <w:ind w:left="432" w:hanging="432"/>
      </w:pPr>
      <w:r>
        <w:t>[68] Walsemann, K. M., Gee, G. C., &amp; Gentile, D. (2015). Sick of our loans: Student borrowing and the mental health of young adults in the United States. Social Science &amp; Medicine, 124, 85-93. https://doi.org/10.1016/j.socscimed.2014.11.027</w:t>
      </w:r>
    </w:p>
    <w:p>
      <w:pPr>
        <w:spacing w:after="80" w:line="276" w:lineRule="auto"/>
        <w:ind w:left="432" w:hanging="432"/>
      </w:pPr>
      <w:r>
        <w:t>[69] Hershner, S. D., &amp; Chervin, R. D. (2014). Causes and consequences of sleepiness among college students. Nature and Science of Sleep, 6, 73-84. https://doi.org/10.2147/NSS.S62907</w:t>
      </w:r>
    </w:p>
    <w:p>
      <w:pPr>
        <w:spacing w:after="80" w:line="276" w:lineRule="auto"/>
        <w:ind w:left="432" w:hanging="432"/>
      </w:pPr>
      <w:r>
        <w:t>[70] Lund, H. G., Reider, B. D., Whiting, A. B., &amp; Prichard, J. R. (2010). Sleep patterns and predictors of disturbed sleep in a large population of college students. Journal of Adolescent Health, 46(2), 124-132. https://doi.org/10.1016/j.jadohealth.2009.06.016</w:t>
      </w:r>
    </w:p>
    <w:p>
      <w:pPr>
        <w:spacing w:after="80" w:line="276" w:lineRule="auto"/>
        <w:ind w:left="432" w:hanging="432"/>
      </w:pPr>
      <w:r>
        <w:t>[71]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ind w:left="432" w:hanging="432"/>
      </w:pPr>
      <w:r>
        <w:t>[72] Ahrberg, K., Dresler, M., Niedermaier, S., Steiger, A., &amp; Genzel, L. (2012). The interaction between sleep quality and academic performance. Journal of Psychiatric Research, 46(12), 1618-1622. https://doi.org/10.1016/j.jpsychires.2012.09.008</w:t>
      </w:r>
    </w:p>
    <w:p>
      <w:pPr>
        <w:spacing w:after="80" w:line="276" w:lineRule="auto"/>
        <w:ind w:left="432" w:hanging="432"/>
      </w:pPr>
      <w:r>
        <w:t>[73]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ind w:left="432" w:hanging="432"/>
      </w:pPr>
      <w:r>
        <w:t>[74] Naczenski, L. M., Vries, J. D., van Hooff, M. L., &amp; Kompier, M. A. (2017). Systematic review of the association between physical activity and burnout. Journal of Occupational Health, 59(6), 477-494. https://doi.org/10.1539/joh.17-0050-RA</w:t>
      </w:r>
    </w:p>
    <w:p>
      <w:pPr>
        <w:spacing w:after="80" w:line="276" w:lineRule="auto"/>
        <w:ind w:left="432" w:hanging="432"/>
      </w:pPr>
      <w:r>
        <w:t>[75] Woods, H. C., &amp; Scott, H. (2016). #Sleepyteens: Social media use in adolescence is associated with poor sleep quality, anxiety, depression and low self-esteem. Journal of Adolescence, 51, 41-49. https://doi.org/10.1016/j.adolescence.2016.05.008</w:t>
      </w:r>
    </w:p>
    <w:p>
      <w:pPr>
        <w:spacing w:after="80" w:line="276" w:lineRule="auto"/>
        <w:ind w:left="432" w:hanging="432"/>
      </w:pPr>
      <w:r>
        <w:t>[76] Primack, B. A., Shensa, A., Escobar-Viera, C. G., Barrett, E. L., Sidani, J. E., Colditz, J. B., &amp; James, A. E. (2017). Use of multiple social media platforms and symptoms of depression and anxiety. Computers in Human Behavior, 69, 1-9. https://doi.org/10.1016/j.chb.2016.11.013</w:t>
      </w:r>
    </w:p>
    <w:p>
      <w:pPr>
        <w:spacing w:after="80" w:line="276" w:lineRule="auto"/>
        <w:ind w:left="432" w:hanging="432"/>
      </w:pPr>
      <w:r>
        <w:t>[77] Plackett, R., Blythe, A., Copello, A., &amp; Mars, B. (2020). The impact of social media use on adolescent mental health: A structured review. Journal of Adolescent Health, 67(1), 12-21. https://doi.org/10.1016/j.jadohealth.2020.01.015</w:t>
      </w:r>
    </w:p>
    <w:p>
      <w:pPr>
        <w:spacing w:after="80" w:line="276" w:lineRule="auto"/>
        <w:ind w:left="432" w:hanging="432"/>
      </w:pPr>
      <w:r>
        <w:t>[78]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ind w:left="432" w:hanging="432"/>
      </w:pPr>
      <w:r>
        <w:t>[79] Fang, J., Wang, X., Wen, Z., &amp; Zhou, J. (2022). Fear of missing out and problematic social media use as mediators between emotional support from social media and phubbing behavior. Addictive Behaviors, 107, 106430. https://doi.org/10.1016/j.addbeh.2020.106430</w:t>
      </w:r>
    </w:p>
    <w:p>
      <w:pPr>
        <w:spacing w:after="80" w:line="276" w:lineRule="auto"/>
        <w:ind w:left="432" w:hanging="432"/>
      </w:pPr>
      <w:r>
        <w:t>[80]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ind w:left="432" w:hanging="432"/>
      </w:pPr>
      <w:r>
        <w:t>[81] Purvanova, R. K., &amp; Muros, J. P. (2010). Gender differences in burnout: A meta-analysis. Journal of Vocational Behavior, 77(2), 168-185. https://doi.org/10.1016/j.jvb.2010.04.006</w:t>
      </w:r>
    </w:p>
    <w:p>
      <w:pPr>
        <w:spacing w:after="80" w:line="276" w:lineRule="auto"/>
        <w:ind w:left="432" w:hanging="432"/>
      </w:pPr>
      <w:r>
        <w:t>[82] Kim, B., Jee, S., Lee, J., An, S., &amp; Lee, S. M. (2018). Relationships between social support and student burnout: A meta-analytic approach. Stress and Health, 34(1), 127-134. https://doi.org/10.1002/smi.2771</w:t>
      </w:r>
    </w:p>
    <w:p>
      <w:pPr>
        <w:spacing w:after="80" w:line="276" w:lineRule="auto"/>
        <w:ind w:left="432" w:hanging="432"/>
      </w:pPr>
      <w:r>
        <w:t>[83] Baker, R. S. J. D., &amp; Inventado, P. S. (2014). Educational data mining and learning analytics. In Learning analytics (pp. 61-75). Springer. https://doi.org/10.1007/978-1-4614-3305-7_4</w:t>
      </w:r>
    </w:p>
    <w:p>
      <w:pPr>
        <w:spacing w:after="80" w:line="276" w:lineRule="auto"/>
        <w:ind w:left="432" w:hanging="432"/>
      </w:pPr>
      <w:r>
        <w:t>[84] Romero, C., &amp; Ventura, S. (2020). Educational data mining and learning analytics: An updated survey. Wiley Interdisciplinary Reviews: Data Mining and Knowledge Discovery, 10(3), e1355. https://doi.org/10.1002/widm.1355</w:t>
      </w:r>
    </w:p>
    <w:p>
      <w:pPr>
        <w:spacing w:after="80" w:line="276" w:lineRule="auto"/>
        <w:ind w:left="432" w:hanging="432"/>
      </w:pPr>
      <w:r>
        <w:t>[85] Shahiri, A. M., Husain, W., &amp; Rashid, N. A. (2015). A review on predicting student performance using data mining techniques. Procedia Computer Science, 72, 414-422. https://doi.org/10.1016/j.procs.2015.12.157</w:t>
      </w:r>
    </w:p>
    <w:p>
      <w:pPr>
        <w:spacing w:after="80" w:line="276" w:lineRule="auto"/>
        <w:ind w:left="432" w:hanging="432"/>
      </w:pPr>
      <w:r>
        <w:t>[86] Alhazmi, E., &amp; Sheneamer, A. (2023). Early predicting of students performance in higher education. IEEE Access, 11, 27579-27589. https://doi.org/10.1109/ACCESS.2023.3250702</w:t>
      </w:r>
    </w:p>
    <w:p>
      <w:pPr>
        <w:spacing w:after="80" w:line="276" w:lineRule="auto"/>
        <w:ind w:left="432" w:hanging="432"/>
      </w:pPr>
      <w:r>
        <w:t>[87] Priya, A., Garg, S., &amp; Tigga, N. P. (2020). Predicting anxiety, depression and stress in modern life using machine learning algorithms. Procedia Computer Science, 167, 1258-1267. https://doi.org/10.1016/j.procs.2020.03.442</w:t>
      </w:r>
    </w:p>
    <w:p>
      <w:pPr>
        <w:spacing w:after="80" w:line="276" w:lineRule="auto"/>
        <w:ind w:left="432" w:hanging="432"/>
      </w:pPr>
      <w:r>
        <w:t>[88] Zheng, X., Chen, Y., &amp; Liu, Y. (2021). Machine learning algorithms for predicting depression among university students. Computers in Human Behavior, 120, 106752. https://doi.org/10.1016/j.chb.2021.106752</w:t>
      </w:r>
    </w:p>
    <w:p>
      <w:pPr>
        <w:spacing w:after="80" w:line="276" w:lineRule="auto"/>
        <w:ind w:left="432" w:hanging="432"/>
      </w:pPr>
      <w:r>
        <w:t>[89] van der Ploeg, T., Austin, P. C., &amp; Steyerberg, E. W. (2014). Modern modelling techniques are data hungry: A simulation study for predicting dichotomous endpoints. BMC Medical Research Methodology, 14(1), 1-11. https://doi.org/10.1186/1471-2288-14-137</w:t>
      </w:r>
    </w:p>
    <w:p>
      <w:pPr>
        <w:spacing w:after="80" w:line="276" w:lineRule="auto"/>
        <w:ind w:left="432" w:hanging="432"/>
      </w:pPr>
      <w:r>
        <w:t>[90] Davis, J., &amp; Goadrich, M. (2006). The relationship between Precision-Recall and ROC curves. In Proceedings of the 23rd International Conference on Machine Learning (pp. 233-240). ACM. https://doi.org/10.1145/1143844.1143874</w:t>
      </w:r>
    </w:p>
    <w:p>
      <w:pPr>
        <w:spacing w:after="80" w:line="276" w:lineRule="auto"/>
        <w:ind w:left="432" w:hanging="432"/>
      </w:pPr>
      <w:r>
        <w:t>[91]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ind w:left="432" w:hanging="432"/>
      </w:pPr>
      <w:r>
        <w:t>[92] Tsiakmaki, M., Kostopoulos, G., Kotsiantis, S., &amp; Ragos, O. (2020). Implementing AutoML in educational data mining for prediction tasks. Applied Sciences, 10(1), 90. https://doi.org/10.3390/app10010090</w:t>
      </w:r>
    </w:p>
    <w:p>
      <w:pPr>
        <w:spacing w:after="80" w:line="276" w:lineRule="auto"/>
        <w:ind w:left="432" w:hanging="432"/>
      </w:pPr>
      <w:r>
        <w:t>[93] Breiman, L. (2001). Random forests. Machine Learning, 45(1), 5-32. https://doi.org/10.1023/A:1010933404324</w:t>
      </w:r>
    </w:p>
    <w:p>
      <w:pPr>
        <w:spacing w:after="80" w:line="276" w:lineRule="auto"/>
        <w:ind w:left="432" w:hanging="432"/>
      </w:pPr>
      <w:r>
        <w:t>[94] Strobl, C., Boulesteix, A. L., Zeileis, A., &amp; Hothorn, T. (2007). Bias in random forest variable importance measures: Illustrations, sources and a solution. BMC Bioinformatics, 8(1), 1-21. https://doi.org/10.1186/1471-2105-8-25</w:t>
      </w:r>
    </w:p>
    <w:p>
      <w:pPr>
        <w:spacing w:after="80" w:line="276" w:lineRule="auto"/>
        <w:ind w:left="432" w:hanging="432"/>
      </w:pPr>
      <w:r>
        <w:t>[95] Nicodemus, K. K., Malley, J. D., Strobl, C., &amp; Ziegler, A. (2010). The behaviour of random forest permutation-based variable importance measures under predictor correlation. BMC Bioinformatics, 11(1), 1-13. https://doi.org/10.1186/1471-2105-11-110</w:t>
      </w:r>
    </w:p>
    <w:p>
      <w:pPr>
        <w:spacing w:after="80" w:line="276" w:lineRule="auto"/>
        <w:ind w:left="432" w:hanging="432"/>
      </w:pPr>
      <w:r>
        <w:t>[96] Friedman, J. H. (2001). Greedy function approximation: A gradient boosting machine. Annals of Statistics, 29(5), 1189-1232. https://doi.org/10.1214/aos/1013203451</w:t>
      </w:r>
    </w:p>
    <w:p>
      <w:pPr>
        <w:spacing w:after="80" w:line="276" w:lineRule="auto"/>
        <w:ind w:left="432" w:hanging="432"/>
      </w:pPr>
      <w:r>
        <w:t>[97] Hooker, G., Mentch, L., &amp; Zhou, S. (2021). Unrestricted permutation forces extrapolation: Variable importance requires at least one more model, or there is no free variable importance. Statistics and Computing, 31(5), 1-11. https://doi.org/10.1007/s11222-021-10057-z</w:t>
      </w:r>
    </w:p>
    <w:p>
      <w:pPr>
        <w:spacing w:after="80" w:line="276" w:lineRule="auto"/>
        <w:ind w:left="432" w:hanging="432"/>
      </w:pPr>
      <w:r>
        <w:t>[98] Greenwell, B. M. (2017). pdp: An R package for constructing partial dependence plots. The R Journal, 9(1), 421-436. https://doi.org/10.32614/RJ-2017-016</w:t>
      </w:r>
    </w:p>
    <w:p>
      <w:pPr>
        <w:spacing w:after="80" w:line="276" w:lineRule="auto"/>
        <w:ind w:left="432" w:hanging="432"/>
      </w:pPr>
      <w:r>
        <w:t>[99]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ind w:left="432" w:hanging="432"/>
      </w:pPr>
      <w:r>
        <w:t>[100] Sarkar, S., Ray, A., &amp; Sharma, M. (2022). Explainable AI in healthcare and medicine: A systematic review. Journal of Medical Systems, 46(12), 85. https://doi.org/10.1007/s10916-022-01869-7</w:t>
      </w:r>
    </w:p>
    <w:p>
      <w:pPr>
        <w:spacing w:after="80" w:line="276" w:lineRule="auto"/>
        <w:ind w:left="432" w:hanging="432"/>
      </w:pPr>
      <w:r>
        <w:t>[101] Rastrollo-Guerrero, J. L., Gómez-Pulido, J. A., &amp; Durán-Domínguez, A. (2020). Analyzing and predicting students' performance using machine learning: A systematic review. Applied Sciences, 10(6), 2023. https://doi.org/10.3390/app10062023</w:t>
      </w:r>
    </w:p>
    <w:p>
      <w:pPr>
        <w:spacing w:after="80" w:line="276" w:lineRule="auto"/>
        <w:ind w:left="432" w:hanging="432"/>
      </w:pPr>
      <w:r>
        <w:t>[102] Braun, V., &amp; Clarke, V. (2021). One size fits all? What counts as quality practice in (reflexive) thematic analysis? Qualitative Research in Psychology, 18(3), 328-352. https://doi.org/10.1080/14780887.2020.1769238</w:t>
      </w:r>
    </w:p>
    <w:p>
      <w:pPr>
        <w:spacing w:after="80" w:line="276" w:lineRule="auto"/>
        <w:ind w:left="432" w:hanging="432"/>
      </w:pPr>
      <w:r>
        <w:t>[103] Braun, V., &amp; Clarke, V. (2006). Using thematic analysis in psychology. Qualitative Research in Psychology, 3(2), 77-101. https://doi.org/10.1191/1478088706qp063oa</w:t>
      </w:r>
    </w:p>
    <w:p>
      <w:pPr>
        <w:spacing w:after="80" w:line="276" w:lineRule="auto"/>
        <w:ind w:left="432" w:hanging="432"/>
      </w:pPr>
      <w:r>
        <w:t>[104] Guest, G., Bunce, A., &amp; Johnson, L. (2006). How many interviews are enough? An experiment with data saturation and variability. Field Methods, 18(1), 59-82. https://doi.org/10.1177/1525822X05279903</w:t>
      </w:r>
    </w:p>
    <w:p>
      <w:pPr>
        <w:spacing w:after="80" w:line="276" w:lineRule="auto"/>
        <w:ind w:left="432" w:hanging="432"/>
      </w:pPr>
      <w:r>
        <w:t>[105] Kristensen, T. S., Borritz, M., Villadsen, E., &amp; Christensen, K. B. (2005). The Copenhagen Burnout Inventory: A new tool for the assessment of burnout. Work &amp; Stress, 19(3), 192-207. https://doi.org/10.1080/02678370500297720</w:t>
      </w:r>
    </w:p>
    <w:p>
      <w:pPr>
        <w:spacing w:after="80" w:line="276" w:lineRule="auto"/>
        <w:ind w:left="432" w:hanging="432"/>
      </w:pPr>
      <w:r>
        <w:t>[106] Rohland, B. M., Kruse, G. R., &amp; Rohrer, J. E. (2004). Validation of a single-item measure of burnout against the Maslach Burnout Inventory among physicians. Stress and Health, 20(2), 75-79. https://doi.org/10.1002/smi.1003</w:t>
      </w:r>
    </w:p>
    <w:p>
      <w:pPr>
        <w:spacing w:after="80" w:line="276" w:lineRule="auto"/>
        <w:ind w:left="432" w:hanging="432"/>
      </w:pPr>
      <w:r>
        <w:t>[107] West, C. P., Dyrbye, L. N., Sloan, J. A., &amp; Shanafelt, T. D. (2009). Single item measures of emotional exhaustion and depersonalization are useful for assessing burnout in medical professionals. Journal of General Internal Medicine, 24(12), 1318-1321. https://doi.org/10.1007/s11606-009-1129-z</w:t>
      </w:r>
    </w:p>
    <w:p>
      <w:pPr>
        <w:spacing w:after="80" w:line="276" w:lineRule="auto"/>
        <w:ind w:left="432" w:hanging="432"/>
      </w:pPr>
      <w:r>
        <w:t>[108] Elo, A. L., Leppanen, A., &amp; Jahkola, A. (2003). Validity of a single-item measure of stress symptoms. Scandinavian Journal of Work, Environment &amp; Health, 29(6), 444-451. https://doi.org/10.5271/sjweh.752</w:t>
      </w:r>
    </w:p>
    <w:p>
      <w:pPr>
        <w:spacing w:after="80" w:line="276" w:lineRule="auto"/>
        <w:ind w:left="432" w:hanging="432"/>
      </w:pPr>
      <w:r>
        <w:t>[109]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ind w:left="432" w:hanging="432"/>
      </w:pPr>
      <w:r>
        <w:t>[110] Bzdok, D., Altman, N., &amp; Krzywinski, M. (2018). Statistics versus machine learning. Nature Methods, 15(4), 233-234. https://doi.org/10.1038/nmeth.4642</w:t>
      </w:r>
    </w:p>
    <w:p>
      <w:pPr>
        <w:spacing w:after="80" w:line="276" w:lineRule="auto"/>
        <w:ind w:left="432" w:hanging="432"/>
      </w:pPr>
      <w:r>
        <w:t>[111] Landis, J. R., &amp; Koch, G. G. (1977). The measurement of observer agreement for categorical data. Biometrics, 33(1), 159-174. https://doi.org/10.2307/2529310</w:t>
      </w:r>
    </w:p>
    <w:p>
      <w:pPr>
        <w:spacing w:after="80" w:line="276" w:lineRule="auto"/>
        <w:ind w:left="432" w:hanging="432"/>
      </w:pPr>
      <w:r>
        <w:t>[112] Farmer, T., Robinson, K., Elliott, S. J., &amp; Eyles, J. (2006). Developing and implementing a triangulation protocol for qualitative health research. Qualitative Health Research, 16(3), 377-394. https://doi.org/10.1177/1049732305285708</w:t>
      </w:r>
    </w:p>
    <w:p>
      <w:pPr>
        <w:spacing w:after="80" w:line="276" w:lineRule="auto"/>
        <w:ind w:left="432" w:hanging="432"/>
      </w:pPr>
      <w:r>
        <w:t>[113] Tukey, J. W. (1977). Exploratory data analysis. Addison-Wesley.</w:t>
      </w:r>
    </w:p>
    <w:p>
      <w:pPr>
        <w:spacing w:after="80" w:line="276" w:lineRule="auto"/>
        <w:ind w:left="432" w:hanging="432"/>
      </w:pPr>
      <w:r>
        <w:t>[114]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ind w:left="432" w:hanging="432"/>
      </w:pPr>
      <w:r>
        <w:t>[115] He, H., &amp; Garcia, E. A. (2009). Learning from imbalanced data. IEEE Transactions on Knowledge and Data Engineering, 21(9), 1263-1284. https://doi.org/10.1109/TKDE.2008.239</w:t>
      </w:r>
    </w:p>
    <w:p>
      <w:pPr>
        <w:spacing w:after="80" w:line="276" w:lineRule="auto"/>
        <w:ind w:left="432" w:hanging="432"/>
      </w:pPr>
      <w:r>
        <w:t>[116] Ghasemi, A., &amp; Zahediasl, S. (2012). Normality tests for statistical analysis: A guide for non-statisticians. International Journal of Endocrinology and Metabolism, 10(2), 186-191. https://doi.org/10.5812/ijem.3505</w:t>
      </w:r>
    </w:p>
    <w:p>
      <w:pPr>
        <w:spacing w:after="80" w:line="276" w:lineRule="auto"/>
        <w:ind w:left="432" w:hanging="432"/>
      </w:pPr>
      <w:r>
        <w:t>[117] Faul, F., Erdfelder, E., Lang, A. G., &amp; Buchner, A. (2007). G*Power 3: A flexible statistical power analysis program for the social, behavioral, and biomedical sciences. Behavior Research Methods, 39(2), 175-191. https://doi.org/10.3758/BF03193146</w:t>
      </w:r>
    </w:p>
    <w:p>
      <w:pPr>
        <w:spacing w:after="80" w:line="276" w:lineRule="auto"/>
        <w:ind w:left="432" w:hanging="432"/>
      </w:pPr>
      <w:r>
        <w:t>[118] Cohen, J. (1988). Statistical power analysis for the behavioral sciences (2nd ed.). Lawrence Erlbaum Associates.</w:t>
      </w:r>
    </w:p>
    <w:p>
      <w:pPr>
        <w:spacing w:after="80" w:line="276" w:lineRule="auto"/>
        <w:ind w:left="432" w:hanging="432"/>
      </w:pPr>
      <w:r>
        <w:t>[119] O'Brien, R. M. (2007). A caution regarding rules of thumb for variance inflation factors. Quality &amp; Quantity, 41(5), 673-690. https://doi.org/10.1007/s11135-006-9018-6</w:t>
      </w:r>
    </w:p>
    <w:p>
      <w:pPr>
        <w:spacing w:after="80" w:line="276" w:lineRule="auto"/>
        <w:ind w:left="432" w:hanging="432"/>
      </w:pPr>
      <w:r>
        <w:t>[120]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ind w:left="432" w:hanging="432"/>
      </w:pPr>
      <w:r>
        <w:t>[121] Fawcett, T. (2006). An introduction to ROC analysis. Pattern Recognition Letters, 27(8), 861-874. https://doi.org/10.1016/j.patrec.2005.10.010</w:t>
      </w:r>
    </w:p>
    <w:p>
      <w:pPr>
        <w:spacing w:after="80" w:line="276" w:lineRule="auto"/>
        <w:ind w:left="432" w:hanging="432"/>
      </w:pPr>
      <w:r>
        <w:t>[122] Rudin, C. (2019). Stop explaining black box machine learning models for high stakes decisions and use interpretable models instead. Nature Machine Intelligence, 1(5), 206-215. https://doi.org/10.1038/s42256-019-0048-x</w:t>
      </w:r>
    </w:p>
    <w:p>
      <w:pPr>
        <w:spacing w:after="80" w:line="276" w:lineRule="auto"/>
        <w:ind w:left="432" w:hanging="432"/>
      </w:pPr>
      <w:r>
        <w:t>[123] Mamun, M. A., &amp; Griffiths, M. D. (2019). The psychological impact of extreme weather events and natural disasters on Bangladeshi students. Psychiatry Research, 281, 112574. https://doi.org/10.1016/j.psychres.2019.112574</w:t>
      </w:r>
    </w:p>
    <w:p>
      <w:pPr>
        <w:spacing w:after="80" w:line="276" w:lineRule="auto"/>
        <w:ind w:left="432" w:hanging="432"/>
      </w:pPr>
      <w:r>
        <w:t>[124] Collins, G. S., Reitsma, J. B., Altman, D. G., &amp; Moons, K. G. (2015). Transparent reporting of a multivariable prediction model for individual prognosis or diagnosis (TRIPOD): The TRIPOD statement. BMJ, 350, g7594. https://doi.org/10.1136/bmj.g7594</w:t>
      </w:r>
    </w:p>
    <w:p>
      <w:pPr>
        <w:spacing w:after="80" w:line="276" w:lineRule="auto"/>
        <w:ind w:left="432" w:hanging="432"/>
      </w:pPr>
      <w:r>
        <w:t>[125] Moons, K. G., Altman, D. G., Reitsma, J. B., Ioannidis, J. P., Macaskill, P., Steyerberg, E. W., ... &amp; Collins, G. S. (2015). Transparent Reporting of a multivariable prediction model for Individual Prognosis or Diagnosis (TRIPOD): Explanation and elaboration. Annals of Internal Medicine, 162(1), W1-W73. https://doi.org/10.7326/M14-0698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