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Prediction: A Mixed-Methods Study with Qualitative Triangulation</w:t>
      </w:r>
    </w:p>
    <w:p>
      <w:pPr>
        <w:spacing w:after="80" w:line="276" w:lineRule="auto"/>
      </w:pPr>
      <w:r>
        <w:t>Rifat Miah1,*, Student Member, IEEE and Dr. A.S.M. Shihavuddin2, Senior Member, IEEE</w:t>
      </w:r>
    </w:p>
    <w:p>
      <w:pPr>
        <w:spacing w:after="80" w:line="276" w:lineRule="auto"/>
      </w:pPr>
      <w:r>
        <w:t>1 Department of Computer Science and Engineering, Presidency University, Dhaka 1212, Bangladesh</w:t>
      </w:r>
    </w:p>
    <w:p>
      <w:pPr>
        <w:spacing w:after="80" w:line="276" w:lineRule="auto"/>
      </w:pPr>
      <w:r>
        <w:t>2 Department of Electrical and Electronic Engineering, Green University of Bangladesh, Dhaka 1207, Bangladesh</w:t>
      </w:r>
    </w:p>
    <w:p>
      <w:pPr>
        <w:pStyle w:val="ListBullet"/>
        <w:spacing w:after="80" w:line="276" w:lineRule="auto"/>
      </w:pPr>
      <w:r>
        <w:t>Corresponding Author: Rifat Miah (Email: `rifatmiah1992003@gmail.com`, ORCID: [0009-0002-1434-5678](https://orcid.org/0009-0002-1434-5678))</w:t>
      </w:r>
    </w:p>
    <w:p>
      <w:pPr>
        <w:spacing w:after="80" w:line="276" w:lineRule="auto"/>
      </w:pPr>
      <w:r>
        <w:t>Co-Author: Dr. A.S.M. Shihavuddin (Email: `shihav@eee.green.edu.bd`, ORCID: [0000-0002-8924-1188](https://orcid.org/0000-0002-8924-1188))</w:t>
      </w:r>
    </w:p>
    <w:p>
      <w:pPr>
        <w:pStyle w:val="Heading2"/>
        <w:spacing w:before="240" w:after="80"/>
      </w:pPr>
      <w:r>
        <w:rPr>
          <w:color w:val="1E3A8A"/>
        </w:rPr>
        <w:t>Abstract</w:t>
      </w:r>
    </w:p>
    <w:p>
      <w:pPr>
        <w:spacing w:after="80" w:line="276" w:lineRule="auto"/>
      </w:pPr>
      <w:r>
        <w:rPr>
          <w:b/>
        </w:rPr>
        <w:t>Background</w:t>
      </w:r>
      <w:r>
        <w:t xml:space="preserve">: Academic burnout is a growing mental health concern in higher education, disproportionately affecting students in resource-constrained South Asian universities. Early-identification frameworks remain limited by single-method approaches, opaque black-box predictive models, and an absence of integrated mixed-methods investigation. </w:t>
      </w:r>
      <w:r>
        <w:rPr>
          <w:b/>
        </w:rPr>
        <w:t>Methods</w:t>
      </w:r>
      <w:r>
        <w:t xml:space="preserve">: This study employs an explanatory sequential mixed-methods design (QUAN → QUAL) on a primary cross-sectional dataset of N = 601 Bangladeshi undergraduates. Quantitative survey modeling and ML feature importance established primary risk predictors, which subsequently informed purposive sub-sampling of N = 20 students for qualitative interview elaboration. Ten supervised classifiers and a Soft Voting Ensemble were evaluated under 10-fold stratified cross-validation alongside nine domain-engineered composite features operationalizing Conservation of Resources (COR) and Job Demands-Resources (JD-R) constructs, exhibiting modest-to-moderate construct correlation (|r| = 0.015 to 0.265) without circular target proxy leakage. </w:t>
      </w:r>
      <w:r>
        <w:rPr>
          <w:b/>
        </w:rPr>
        <w:t>Results</w:t>
      </w:r>
      <w:r>
        <w:t xml:space="preserve">: Random Forest achieved top classification performance (Accuracy = 65.89%, ROC-AUC = 0.7126) — a statistically meaningful ~8.3 percentage-point improvement over the 57.57% majority baseline (McNemar p &lt; .001), though performing within 1.5 percentage points of Logistic Regression (64.39%, McNemar p = 0.4743). Decision threshold optimization (th = 0.38) improved sensitivity to 71.76% for high-coverage voluntary screening. SHAP analysis identified academic performance index, CGPA midpoint, and screen-to-sleep ratio as dominant burnout predictors; demographic features contributed negligibly (mean |SHAP| &lt; 0.007). Qualitative thematic analysis of 20 semi-structured interviews corroborated computational findings and highlighted institutional identity strain among National University students as a contextual dimension absent from quantitative survey items. </w:t>
      </w:r>
      <w:r>
        <w:rPr>
          <w:b/>
        </w:rPr>
        <w:t>Conclusion</w:t>
      </w:r>
      <w:r>
        <w:t>: Triangulation of ML, XAI, and qualitative findings supports a sequential burnout pathway — career anxiety → psychological distress → digital escapism → biological sleep collapse — providing a modest, non-binding screening baseline for evidence-based university decision-support system design.</w:t>
      </w:r>
    </w:p>
    <w:p>
      <w:pPr>
        <w:spacing w:after="80" w:line="276" w:lineRule="auto"/>
      </w:pPr>
      <w:r>
        <w:rPr>
          <w:b/>
        </w:rPr>
        <w:t>Keywords: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among university students has emerged as a pervasive and increasingly consequential phenomenon in higher education worldwide [1]. Defined as a prolonged state of emotional exhaustion, cynicism toward coursework, and diminished personal efficacy resulting from chronic academic stressors [2], burnout transcends isolated episodes of fatigue; it represents a structural erosion of student engagement that carries lasting implications for mental health, retention, and post-graduation outcomes. In recent years, the convergence of intensified academic demands, financial uncertainty, digital distraction, and the lingering effects of pandemic-era disruptions has accelerated burnout prevalence across diverse institutional contexts [3, 4].</w:t>
      </w:r>
    </w:p>
    <w:p>
      <w:pPr>
        <w:spacing w:after="80" w:line="276" w:lineRule="auto"/>
      </w:pPr>
      <w:r>
        <w:t>Global surveys paint a stark picture. The World Health Organization [10] formally recognized burnout as an occupational phenomenon in the 11th revision of the International Classification of Diseases, signaling that chronic stress left unmanaged constitutes a legitimate health concern. While originally conceptualized within workplace settings [5], burnout scholarship has increasingly pivoted toward higher education, where students function under sustained performance expectations analogous to those of professional workers [6]. Multi-country assessments report that between 30% and 50% of university students meet threshold criteria for burnout, with disproportionate rates in STEM disciplines, medical training, and institutions located in low- and middle-income countries [7–9].</w:t>
      </w:r>
    </w:p>
    <w:p>
      <w:pPr>
        <w:spacing w:after="80" w:line="276" w:lineRule="auto"/>
      </w:pPr>
      <w:r>
        <w:t>Within South Asia, the issue assumes particular urgency. Rapid enrollment expansion, coupled with infrastructure constraints and employment market volatility, has generated an academic environment in which students face intense competitive pressure yet receive limited institutional mental health support [10, 12]. In Bangladesh, university enrollment has quadrupled over two decades, yet counseling services and wellness infrastructure have not kept pace [12]. Recent evidence from Bangladeshi private and public universities indicates that more than 40% of undergraduates report elevated burnout symptoms, frequently co-occurring with depression, anxiety, and deteriorating academic performance [13].</w:t>
      </w:r>
    </w:p>
    <w:p>
      <w:pPr>
        <w:spacing w:after="80" w:line="276" w:lineRule="auto"/>
      </w:pPr>
      <w:r>
        <w:t>Despite growing awareness, early identification of at-risk students remains difficult. Traditional approaches rely on end-of-semester self-report inventories - instruments that capture burnout after its effects have already materialized rather than in time for preventive intervention [14]. Moreover, burnout is shaped by a complex web of behavioral, psychological, sociodemographic, and institutional factors that resist simple univariate screening [15]. This complexity invites computational approaches capable of modeling nonlinear, high-dimensional interactions among contributing variables.</w:t>
      </w:r>
    </w:p>
    <w:p>
      <w:pPr>
        <w:spacing w:after="80" w:line="276" w:lineRule="auto"/>
      </w:pPr>
      <w:r>
        <w:t>Machine learning (ML) offers a principled framework for this task. Supervised classification algorithms can learn discriminative patterns from large observational datasets, yielding predictive models that outperform logistic regression and rule-based heuristics on heterogeneous behavioral data [16, 17]. Recent applications of ML in precision psychiatry and educational mental health domains have demonstrated strong predictive performance for outcomes such as dropout risk, depression screening, and academic achievement [17–19]. However, two critical gaps limit the translational value of existing ML-based burnout studies. First, the overwhelming majority of such models are trained and tested on a single dataset using internal cross-validation alone, with no assessment of generalizability to independently collected samples from distinct populations [20]. Second, "black-box" models provide little interpretive transparency regarding why a particular student is classified as high-risk, impeding trust among educators, counselors, and policymakers who require actionable explanations [23, 25].</w:t>
      </w:r>
    </w:p>
    <w:p>
      <w:pPr>
        <w:spacing w:after="80" w:line="276" w:lineRule="auto"/>
      </w:pPr>
      <w:r>
        <w:t>Explainable artificial intelligence (XAI) methods - centered on SHapley Additive exPlanations (SHAP) [24] and broader XAI frameworks [23] - address the interpretability deficit by quantifying each feature's marginal contribution to individual and aggregate predictions. XAI-enhanced models can offer both statistical rigor and practical transparency [22, 25, 23].</w:t>
      </w:r>
    </w:p>
    <w:p>
      <w:pPr>
        <w:spacing w:after="80" w:line="276" w:lineRule="auto"/>
      </w:pPr>
      <w:r>
        <w:t>Yet even the most sophisticated quantitative pipeline cannot capture the subjective texture of lived experience. Students' own accounts of how they navigate academic pressure, screen fatigue, institutional stigma, and sleep deprivation coupled with employment constraints offer contextual depth that no numeric feature vector can encode [26]. Mixed-methods research designs that integrate quantitative and qualitative strands through systematic triangulation thereby produce meta-inferences of greater validity and completeness than either strand alone [27, 37]. Despite this well-established methodological advantage, mixed-methods studies that pair ML-based prediction with qualitative inquiry remain exceedingly rare in the burnout literature - a gap the present work directly addresses.</w:t>
      </w:r>
    </w:p>
    <w:p>
      <w:pPr>
        <w:pStyle w:val="Heading3"/>
        <w:spacing w:before="200" w:after="60"/>
      </w:pPr>
      <w:r>
        <w:rPr>
          <w:color w:val="047857"/>
        </w:rPr>
        <w:t>1.2 Statement of the Problem</w:t>
      </w:r>
    </w:p>
    <w:p>
      <w:pPr>
        <w:pStyle w:val="Heading3"/>
        <w:spacing w:before="200" w:after="60"/>
      </w:pPr>
      <w:r>
        <w:rPr>
          <w:color w:val="047857"/>
        </w:rPr>
        <w:t>1.2 Statement of the Problem</w:t>
      </w:r>
    </w:p>
    <w:p>
      <w:pPr>
        <w:spacing w:after="80" w:line="276" w:lineRule="auto"/>
      </w:pPr>
      <w:r>
        <w:t>Despite a proliferation of quantitative studies examining correlates of student burnout [1, 26], four interrelated shortcomings limit current knowledge. First, most ML-based prediction efforts rely exclusively on single-source training and evaluation, offering no empirical evidence of cross-sample generalizability [28]. Second, few studies employ XAI techniques systematically enough to move beyond global feature rankings toward individualized, locally interpretable explanations [23, 25]. Third, the extant literature rarely subjects ML findings to cross-validation using primary data collected from a different population, leaving the practical applicability of reported models uncertain [29]. Fourth, and most critically, while machine learning has been increasingly applied to student mental health in South Asia [111, 123], few investigations integrate machine learning prediction, Explainable AI (XAI), and qualitative thematic analysis within a unified explanatory sequential mixed-methods framework (QUAN → QUAL) — a design that enables triangulated meta-inferences about the structural mechanisms and experiential manifestations of academic burnout [25].</w:t>
      </w:r>
    </w:p>
    <w:p>
      <w:pPr>
        <w:spacing w:after="80" w:line="276" w:lineRule="auto"/>
      </w:pPr>
      <w:r>
        <w:t>These gaps are especially consequential in developing-country contexts such as Bangladesh, where the demographic profile of university students, the structure of academic programs, and the availability of mental health resources differ markedly from those of Western institutions on which most predictive models have been developed [10]. Without contextual qualitative grounding, models risk producing misleading predictions, potentially directing scarce intervention resources toward the wrong students.</w:t>
      </w:r>
    </w:p>
    <w:p>
      <w:pPr>
        <w:spacing w:after="80" w:line="276" w:lineRule="auto"/>
      </w:pPr>
      <w:r>
        <w:t>The present study therefore poses the following overarching question: Can an explanatory sequential mixed-methods research design combining machine learning classification, primary survey-based evaluation, and semi-structured interview-based qualitative analysis produce a robust, interpretable, and contextually grounded predictive framework for student burnout?</w:t>
      </w:r>
    </w:p>
    <w:p>
      <w:pPr>
        <w:pStyle w:val="Heading3"/>
        <w:spacing w:before="200" w:after="60"/>
      </w:pPr>
      <w:r>
        <w:rPr>
          <w:color w:val="047857"/>
        </w:rPr>
        <w:t>1.3 Research Questions</w:t>
      </w:r>
    </w:p>
    <w:p>
      <w:pPr>
        <w:spacing w:after="80" w:line="276" w:lineRule="auto"/>
      </w:pPr>
      <w:r>
        <w:t>The study is guided by four research questions that span the quantitative, qualitative, and integrative dimensions of the investigation:</w:t>
      </w:r>
    </w:p>
    <w:p>
      <w:pPr>
        <w:spacing w:after="80" w:line="276" w:lineRule="auto"/>
      </w:pPr>
      <w:r>
        <w:t>RQ1. Which supervised machine learning algorithm achieves the highest predictive performance for binary student burnout classification (High vs. Low/Medium) when trained on a large-scale behavioral dataset and evaluated through 10-fold stratified cross-validation?</w:t>
      </w:r>
    </w:p>
    <w:p>
      <w:pPr>
        <w:spacing w:after="80" w:line="276" w:lineRule="auto"/>
      </w:pPr>
      <w:r>
        <w:t>RQ2. What are the most influential behavioral, psychological, and sociodemographic features driving burnout predictions, as identified through global SHAP feature importance analysis, and how do these quantitative attributions align with qualitative student narratives?</w:t>
      </w:r>
    </w:p>
    <w:p>
      <w:pPr>
        <w:spacing w:after="80" w:line="276" w:lineRule="auto"/>
      </w:pPr>
      <w:r>
        <w:t>RQ3. What recurring themes and experiential patterns characterize university students' self-reported encounters with academic burnout, and how do these qualitative findings map onto the quantitative feature importance rankings?</w:t>
      </w:r>
    </w:p>
    <w:p>
      <w:pPr>
        <w:spacing w:after="80" w:line="276" w:lineRule="auto"/>
      </w:pPr>
      <w:r>
        <w:t>RQ4. What meta-inferences emerge when findings from the ML models, and the qualitative thematic analysis are triangulated, and what are the implications for theory, policy, and early-warning system design?</w:t>
      </w:r>
    </w:p>
    <w:p>
      <w:pPr>
        <w:pStyle w:val="Heading3"/>
        <w:spacing w:before="200" w:after="60"/>
      </w:pPr>
      <w:r>
        <w:rPr>
          <w:color w:val="047857"/>
        </w:rPr>
        <w:t>1.4 Research Hypotheses</w:t>
      </w:r>
    </w:p>
    <w:p>
      <w:pPr>
        <w:spacing w:after="80" w:line="276" w:lineRule="auto"/>
      </w:pPr>
      <w:r>
        <w:t>Drawing on the Conservation of Resources (COR) theory [31], the Job Demands-Resources (JD-R) model adapted for education [32], and prior empirical evidence [1, 4], the following hypotheses are proposed:</w:t>
      </w:r>
    </w:p>
    <w:p>
      <w:pPr>
        <w:spacing w:after="80" w:line="276" w:lineRule="auto"/>
      </w:pPr>
      <w:r>
        <w:t>H1. Ensemble-based ML algorithms (e.g., XGBoost [96], LightGBM [113], CatBoost [97]) will achieve significantly higher F1-scores and ROC-AUC values for binary burnout prediction than single-learner models (e.g., Logistic Regression, Decision Tree, SVM).</w:t>
      </w:r>
    </w:p>
    <w:p>
      <w:pPr>
        <w:spacing w:after="80" w:line="276" w:lineRule="auto"/>
      </w:pPr>
      <w:r>
        <w:t>H2. Academic performance and psychological demand features (academic performance index, CGPA midpoint, screen-to-sleep ratio, burnout vulnerability index) will rank among the top most important predictors across SHAP feature importance analysis.</w:t>
      </w:r>
    </w:p>
    <w:p>
      <w:pPr>
        <w:spacing w:after="80" w:line="276" w:lineRule="auto"/>
      </w:pPr>
      <w:r>
        <w:t>H3. Resource-related features (sleep quality score, physical activity hours, and wellbeing buffer index) will demonstrate significant negative associations with burnout severity, consistent with the resource-depletion hypothesis of COR theory.</w:t>
      </w:r>
    </w:p>
    <w:p>
      <w:pPr>
        <w:spacing w:after="80" w:line="276" w:lineRule="auto"/>
      </w:pPr>
      <w:r>
        <w:t>H4. Qualitative themes extracted from semi-structured interviews will corroborate the quantitative feature importance hierarchy, with participants' narratives emphasizing academic workload pressure, screen fatigue, institutional stigma, and sleep deprivation coupled with employment constraints as primary burnout contributors - thereby confirming convergent validity through explanatory triangulation.</w:t>
      </w:r>
    </w:p>
    <w:p>
      <w:pPr>
        <w:pStyle w:val="Heading3"/>
        <w:spacing w:before="200" w:after="60"/>
      </w:pPr>
      <w:r>
        <w:rPr>
          <w:color w:val="047857"/>
        </w:rPr>
        <w:t>1.5 Conceptual Framework</w:t>
      </w:r>
    </w:p>
    <w:p>
      <w:pPr>
        <w:spacing w:after="80" w:line="276" w:lineRule="auto"/>
      </w:pPr>
      <w:r>
        <w:t>The conceptual framework guiding this study integrates two primary analytical strands — (1) quantitative ML-based prediction with XAI, and (2) qualitative thematic inquiry — within an explanatory sequential mixed-methods design (QUAN → QUAL). The framework posits that student burnout is the joint product of (a) academic demands (study hours, academic pressure, workload), (b) psychological vulnerability (stress, anxiety, depression), (c) lifestyle and behavioral factors (sleep duration, sleep quality, physical activity, screen time/social media usage), (d) sociodemographic characteristics (age, gender, academic year, program of study), and (e) structural resources (sleep recovery, physical activity, motivation score, CGPA, and attendance).</w:t>
      </w:r>
    </w:p>
    <w:p>
      <w:pPr>
        <w:spacing w:after="80" w:line="276" w:lineRule="auto"/>
      </w:pPr>
      <w:r>
        <w:t>In the first quantitative phase (QUAN), these five factor clusters constitute the input feature space for ML model training and evaluation using 10-Fold cross-validation on the primary survey dataset (N = 601), yielding algorithmic classifications and SHAP feature importance rankings. In the subsequent qualitative phase (QUAL), a purposively selected sub-sample of N = 20 students across burnout tiers participated in semi-structured interviews to explain, contextualize, and elaborate upon the quantitative feature hierarchy. The integration of both strands through an explanatory triangulation protocol produces convergent, divergent, and complementary meta-inferences that inform both theoretical understanding and practical decision-support system design.</w:t>
      </w:r>
    </w:p>
    <w:p>
      <w:pPr>
        <w:spacing w:after="80" w:line="276" w:lineRule="auto"/>
      </w:pPr>
      <w:r>
        <w:t>Conceptual Framework Structure:</w:t>
      </w:r>
    </w:p>
    <w:p>
      <w:pPr>
        <w:spacing w:after="80" w:line="276" w:lineRule="auto"/>
      </w:pPr>
      <w:r>
        <w:rPr>
          <w:b/>
        </w:rPr>
        <w:t>1. Input Variables (Five Clusters):</w:t>
      </w:r>
    </w:p>
    <w:p>
      <w:pPr>
        <w:spacing w:after="80" w:line="276" w:lineRule="auto"/>
      </w:pPr>
      <w:r>
        <w:t>Academic Demands: Study hours, Academic pressure, Workload</w:t>
      </w:r>
    </w:p>
    <w:p>
      <w:pPr>
        <w:spacing w:after="80" w:line="276" w:lineRule="auto"/>
      </w:pPr>
      <w:r>
        <w:t>Psychological Vulnerability: Stress, Anxiety, Depression</w:t>
      </w:r>
    </w:p>
    <w:p>
      <w:pPr>
        <w:spacing w:after="80" w:line="276" w:lineRule="auto"/>
      </w:pPr>
      <w:r>
        <w:t>Lifestyle &amp; Behavioral: Sleep duration, Sleep quality, Physical activity, Screen time</w:t>
      </w:r>
    </w:p>
    <w:p>
      <w:pPr>
        <w:spacing w:after="80" w:line="276" w:lineRule="auto"/>
      </w:pPr>
      <w:r>
        <w:t>Sociodemographic: Age, Gender, Year, Course</w:t>
      </w:r>
    </w:p>
    <w:p>
      <w:pPr>
        <w:spacing w:after="80" w:line="276" w:lineRule="auto"/>
      </w:pPr>
      <w:r>
        <w:t>Structural Resources: Biological sleep recovery, Physical activity, Motivation score, Academic performance (CGPA &amp; Attendance)</w:t>
      </w:r>
    </w:p>
    <w:p>
      <w:pPr>
        <w:spacing w:after="80" w:line="276" w:lineRule="auto"/>
      </w:pPr>
      <w:r>
        <w:rPr>
          <w:b/>
        </w:rPr>
        <w:t>2. Analytical Strands:</w:t>
      </w:r>
    </w:p>
    <w:p>
      <w:pPr>
        <w:spacing w:after="80" w:line="276" w:lineRule="auto"/>
      </w:pPr>
      <w:r>
        <w:t>Strand 1 (Quantitative): ML Models + XAI (10-Fold CV on N=601)</w:t>
      </w:r>
    </w:p>
    <w:p>
      <w:pPr>
        <w:spacing w:after="80" w:line="276" w:lineRule="auto"/>
      </w:pPr>
      <w:r>
        <w:t>Strand 2 (Qualitative): Semi-structured Interviews (N=20)</w:t>
      </w:r>
    </w:p>
    <w:p>
      <w:pPr>
        <w:spacing w:after="80" w:line="276" w:lineRule="auto"/>
      </w:pPr>
      <w:r>
        <w:rPr>
          <w:b/>
        </w:rPr>
        <w:t>3. Integration:</w:t>
      </w:r>
    </w:p>
    <w:p>
      <w:pPr>
        <w:spacing w:after="80" w:line="276" w:lineRule="auto"/>
      </w:pPr>
      <w:r>
        <w:t>Triangulation &amp; Meta-Inference</w:t>
      </w:r>
    </w:p>
    <w:p>
      <w:pPr>
        <w:pStyle w:val="Heading3"/>
        <w:spacing w:before="200" w:after="60"/>
      </w:pPr>
      <w:r>
        <w:rPr>
          <w:color w:val="047857"/>
        </w:rPr>
        <w:t>1.6 Theoretical Framework</w:t>
      </w:r>
    </w:p>
    <w:p>
      <w:pPr>
        <w:spacing w:after="80" w:line="276" w:lineRule="auto"/>
      </w:pPr>
      <w:r>
        <w:t>The theoretical scaffolding of this study rests on three complementary theories whose intersections inform both the feature selection rationale and the interpretation of ML outputs.</w:t>
      </w:r>
    </w:p>
    <w:p>
      <w:pPr>
        <w:pStyle w:val="Heading4"/>
        <w:spacing w:before="160" w:after="40"/>
      </w:pPr>
      <w:r>
        <w:t>1.6.1 Conservation of Resources (COR) Theory</w:t>
      </w:r>
    </w:p>
    <w:p>
      <w:pPr>
        <w:spacing w:after="80" w:line="276" w:lineRule="auto"/>
      </w:pPr>
      <w:r>
        <w:t>Hobfoll's COR theory [31, 33] posits that psychological distress - and, by extension, burnout - arises when individuals perceive a net loss of valued resources or when sustained investment of resources fails to yield adequate returns. In the academic context, resources include adequate sleep, physical health, intrinsic motivation, and academic engagement, while demands encompass coursework intensity, evaluation pressure, and competing role obligations. COR theory predicts that students with depleted resources and high demands will occupy the "resource loss spiral" characteristic of advanced burnout [31, 33]. This prediction directly informs Hypothesis H3 and guides the interpretation of SHAP values associated with resource-related features such as social support, sleep quality, and physical activity.</w:t>
      </w:r>
    </w:p>
    <w:p>
      <w:pPr>
        <w:pStyle w:val="Heading4"/>
        <w:spacing w:before="160" w:after="40"/>
      </w:pPr>
      <w:r>
        <w:t>1.6.2 Job Demands-Resources (JD-R) Model</w:t>
      </w:r>
    </w:p>
    <w:p>
      <w:pPr>
        <w:spacing w:after="80" w:line="276" w:lineRule="auto"/>
      </w:pPr>
      <w:r>
        <w:t>Originally developed for occupational burnout [34], the JD-R model has been productively adapted to educational settings under the label of "Study Demands-Resources" [32]. The model distinguishes between demands that trigger a health-impairment pathway (leading to exhaustion and cynicism) and resources that activate a motivational pathway (fostering engagement). In this study, features such as academic pressure score, stress level, and screen time hours operationalize demands, while sleep quality score, physical activity hours, motivation score, and the composite wellbeing buffer index operationalize resources. The JD-R framework predicts interaction effects - resources buffer the impact of demands - that may manifest as nonlinear feature interactions detectable by tree-based ML models but invisible to standard linear regressions [34, 35]. This prediction informs the design of SHAP feature importance analyses.</w:t>
      </w:r>
    </w:p>
    <w:p>
      <w:pPr>
        <w:pStyle w:val="Heading4"/>
        <w:spacing w:before="160" w:after="40"/>
      </w:pPr>
      <w:r>
        <w:t>1.6.3 Self-Determination Theory (SDT)</w:t>
      </w:r>
    </w:p>
    <w:p>
      <w:pPr>
        <w:spacing w:after="80" w:line="276" w:lineRule="auto"/>
      </w:pPr>
      <w:r>
        <w:t>Deci and Ryan's [109, 36] SDT provides a motivational lens through which qualitative findings are interpreted. SDT holds that fulfillment of three basic psychological needs - autonomy, competence, and relatedness - sustains intrinsic motivation and buffers against burnout, whereas frustration of these needs engenders amotivation and exhaustion [36]. Interview data are expected to reveal instances of need frustration (e.g., feeling trapped in unwanted study programs, lacking peer support, perceiving assignments as meaningless) as recurring contributors to burnout. This theoretical prediction directly informs Hypothesis H4 and guides the axial coding categories employed in the qualitative analysis.</w:t>
      </w:r>
    </w:p>
    <w:p>
      <w:pPr>
        <w:spacing w:after="80" w:line="276" w:lineRule="auto"/>
      </w:pPr>
      <w:r>
        <w:t>Integrative Proposition. The three theories converge on a central proposition: student burnout is not merely an outcome of any single factor but an emergent consequence of imbalanced demand-resource dynamics (JD-R), cumulative resource depletion (COR), and frustrated psychological needs (SDT). ML models serve as the empirical engine for detecting the multivariate patterns implied by these theories, XAI methods render those patterns interpretable in theoretical terms, and qualitative analysis adds the experiential depth that numbers alone cannot convey.</w:t>
      </w:r>
    </w:p>
    <w:p>
      <w:pPr>
        <w:pStyle w:val="Heading3"/>
        <w:spacing w:before="200" w:after="60"/>
      </w:pPr>
      <w:r>
        <w:rPr>
          <w:color w:val="047857"/>
        </w:rPr>
        <w:t>1.7 Research Objectives</w:t>
      </w:r>
    </w:p>
    <w:p>
      <w:pPr>
        <w:spacing w:after="80" w:line="276" w:lineRule="auto"/>
      </w:pPr>
      <w:r>
        <w:t>The objectives of this study are as follows:</w:t>
      </w:r>
    </w:p>
    <w:p>
      <w:pPr>
        <w:spacing w:after="80" w:line="276" w:lineRule="auto"/>
      </w:pPr>
      <w:r>
        <w:t>1. To train and comparatively evaluate ten supervised ML classifiers - Logistic Regression, Decision Tree, Random Forest, Extra Trees, Gradient Boosting, XGBoost [96], LightGBM [113], CatBoost [97], Support Vector Machine, and Multilayer Perceptron - along with a Soft Voting Ensemble for binary burnout prediction on a primary survey dataset (N = 601) using 10-fold stratified cross-validation.</w:t>
      </w:r>
    </w:p>
    <w:p>
      <w:pPr>
        <w:spacing w:after="80" w:line="276" w:lineRule="auto"/>
      </w:pPr>
      <w:r>
        <w:t>2. To apply SHAP (SHapley Additive exPlanations) for global feature importance interpretability of the best-performing model.</w:t>
      </w:r>
    </w:p>
    <w:p>
      <w:pPr>
        <w:spacing w:after="80" w:line="276" w:lineRule="auto"/>
      </w:pPr>
      <w:r>
        <w:t>3. To conduct systematic qualitative thematic analysis of semi-structured interview data from 20 university students, employing open, axial, and selective coding procedures.</w:t>
      </w:r>
    </w:p>
    <w:p>
      <w:pPr>
        <w:spacing w:after="80" w:line="276" w:lineRule="auto"/>
      </w:pPr>
      <w:r>
        <w:t>4. To integrate quantitative and qualitative findings through a triangulation protocol that identifies areas of agreement, disagreement, and complementarity, yielding actionable meta-inferences for educational policy and early-warning system design.</w:t>
      </w:r>
    </w:p>
    <w:p>
      <w:pPr>
        <w:pStyle w:val="Heading3"/>
        <w:spacing w:before="200" w:after="60"/>
      </w:pPr>
      <w:r>
        <w:rPr>
          <w:color w:val="047857"/>
        </w:rPr>
        <w:t>1.8 Significance of the Study</w:t>
      </w:r>
    </w:p>
    <w:p>
      <w:pPr>
        <w:spacing w:after="80" w:line="276" w:lineRule="auto"/>
      </w:pPr>
      <w:r>
        <w:t>This research contributes to the literature in several important ways. Methodologically, it is among the first studies to combine machine learning classification, multi-level XAI analysis, and qualitative triangulation within a single mixed-methods investigation of student burnout. This design overcomes the well-documented limitations of single-source ML studies [20] and the interpretability deficit of black-box models [21], while grounding computational findings in lived student experience.</w:t>
      </w:r>
    </w:p>
    <w:p>
      <w:pPr>
        <w:spacing w:after="80" w:line="276" w:lineRule="auto"/>
      </w:pPr>
      <w:r>
        <w:t>Theoretically, the study tests predictions derived from three established frameworks - COR, JD-R, and SDT - against both statistical evidence and narrative evidence, offering a rare opportunity to evaluate theoretical alignment across methodological traditions. Practically, the identification of the most influential and generalizable predictors of burnout provides evidence-based guidance for universities seeking to design early-warning dashboards, allocate counseling resources, and structure preventive programming. The cross-validation on a Bangladeshi sample additionally informs the growing discourse on the portability of predictive models across cultural and institutional boundaries - a topic of direct relevance to international higher education policy [28].</w:t>
      </w:r>
    </w:p>
    <w:p>
      <w:pPr>
        <w:pStyle w:val="Heading3"/>
        <w:spacing w:before="200" w:after="60"/>
      </w:pPr>
      <w:r>
        <w:rPr>
          <w:color w:val="047857"/>
        </w:rPr>
        <w:t>1.9 Scope and Delimitations</w:t>
      </w:r>
    </w:p>
    <w:p>
      <w:pPr>
        <w:spacing w:after="80" w:line="276" w:lineRule="auto"/>
      </w:pPr>
      <w:r>
        <w:t>The quantitative analysis relies on a primary survey dataset of 601 university students in Bangladesh collected via Google Forms, predominantly from private universities and the National University system. The qualitative strand involves 20 participants from multiple Bangladeshi universities, sampled purposively to capture variation in burnout level, academic year, gender, and institution type. Findings should therefore be generalized cautiously beyond the Bangladeshi higher education context, though the methodological framework is designed for transferability.</w:t>
      </w:r>
    </w:p>
    <w:p>
      <w:pPr>
        <w:pStyle w:val="Heading3"/>
        <w:spacing w:before="200" w:after="60"/>
      </w:pPr>
      <w:r>
        <w:rPr>
          <w:color w:val="047857"/>
        </w:rPr>
        <w:t>1.10 Definition of Key Terms</w:t>
      </w:r>
    </w:p>
    <w:p>
      <w:pPr>
        <w:spacing w:after="80" w:line="276" w:lineRule="auto"/>
      </w:pPr>
      <w:r>
        <w:t>Academic Burnout: A state of chronic exhaustion, disengagement, and reduced efficacy arising from sustained academic demands [6].</w:t>
      </w:r>
    </w:p>
    <w:p>
      <w:pPr>
        <w:spacing w:after="80" w:line="276" w:lineRule="auto"/>
      </w:pPr>
      <w:r>
        <w:t>Explainable AI (XAI): A suite of techniques - including SHAP, permutation importance, and partial dependence plots - that render ML model predictions interpretable to human stakeholders [24].</w:t>
      </w:r>
    </w:p>
    <w:p>
      <w:pPr>
        <w:spacing w:after="80" w:line="276" w:lineRule="auto"/>
      </w:pPr>
      <w:r>
        <w:t>Mixed-Methods Research: A research approach that collects, analyzes, and integrates both quantitative and qualitative data within a single study or series of studies to address research questions more comprehensively [26].</w:t>
      </w:r>
    </w:p>
    <w:p>
      <w:pPr>
        <w:spacing w:after="80" w:line="276" w:lineRule="auto"/>
      </w:pPr>
      <w:r>
        <w:t>Triangulation: A systematic process of comparing findings from multiple data sources, methods, or analytical frameworks to assess convergence, divergence, and complementarity [26, 36].</w:t>
      </w:r>
    </w:p>
    <w:p>
      <w:pPr>
        <w:spacing w:after="80" w:line="276" w:lineRule="auto"/>
      </w:pPr>
      <w:r>
        <w:t>SHAP (SHapley Additive exPlanations): A game-theoretic approach to explain the output of any ML model by computing the contribution of each feature to a given prediction [23].</w:t>
      </w:r>
    </w:p>
    <w:p>
      <w:pPr>
        <w:spacing w:after="80" w:line="276" w:lineRule="auto"/>
      </w:pPr>
      <w:r>
        <w:t>Conservation of Resources (COR) Theory: A stress theory positing that individuals strive to protect valued resources and experience distress when those resources are threatened or lost [31].</w:t>
      </w:r>
    </w:p>
    <w:p>
      <w:pPr>
        <w:spacing w:after="80" w:line="276" w:lineRule="auto"/>
      </w:pPr>
      <w:r>
        <w:t>Job Demands-Resources (JD-R) Model: A theoretical framework distinguishing between job (or study) demands that deplete energy and resources that foster engagement [33].</w:t>
      </w:r>
    </w:p>
    <w:p>
      <w:pPr>
        <w:pStyle w:val="Heading3"/>
        <w:spacing w:before="200" w:after="60"/>
      </w:pPr>
      <w:r>
        <w:rPr>
          <w:color w:val="047857"/>
        </w:rPr>
        <w:t>1.11 Organization of the Paper</w:t>
      </w:r>
    </w:p>
    <w:p>
      <w:pPr>
        <w:spacing w:after="80" w:line="276" w:lineRule="auto"/>
      </w:pPr>
      <w:r>
        <w:t>The remainder of this paper is organized as follows. Section 2 presents the literature review, critically synthesizing prior work on student burnout, ML applications in education, XAI methods, and mixed-methods designs. Section 3 details the complete materials and methods, including research design, data collection, preprocessing, feature engineering, ML model training and evaluation, XAI procedures, qualitative analysis procedures, and the triangulation framework. Section 4 reports exploratory data analysis. Section 5 presents inferential statistical analysis. Section 6 reports ML model performance benchmarks and confusion matrix analysis. Section 7 presents the Explainable AI (SHAP) findings. Section 8 covers qualitative thematic analysis of the lived experience of burnout. Section 9 covers mixed-methods integration, triangulated meta-inferences, and extended discussion. Section 10 presents conclusions, limitations, and policy recommendations. References and supplementary materials follow.</w:t>
      </w:r>
    </w:p>
    <w:p>
      <w:pPr>
        <w:pStyle w:val="Heading2"/>
        <w:spacing w:before="240" w:after="80"/>
      </w:pPr>
      <w:r>
        <w:rPr>
          <w:color w:val="1E3A8A"/>
        </w:rPr>
        <w:t>2. Literature Review</w:t>
      </w:r>
    </w:p>
    <w:p>
      <w:pPr>
        <w:spacing w:after="80" w:line="276" w:lineRule="auto"/>
      </w:pPr>
      <w:r>
        <w:t>This section critically synthesizes the existing body of scholarship on student burnout, its predictors, computational approaches to burnout prediction, and the methodological innovations that inform the present study. The review is organized thematically rather than chronologically, moving from the conceptualization of academic burnout through its empirical correlates, machine learning applications, explainability methods, validation frameworks, and mixed-methods designs. Each subsection identifies both the contributions and the unresolved limitations of prior work, culminating in a synthesis of research gaps that motivates the present investigation.</w:t>
      </w:r>
    </w:p>
    <w:p>
      <w:pPr>
        <w:pStyle w:val="Heading3"/>
        <w:spacing w:before="200" w:after="60"/>
      </w:pPr>
      <w:r>
        <w:rPr>
          <w:color w:val="047857"/>
        </w:rPr>
        <w:t>2.1 Conceptualization and Dimensions of Academic Burnout</w:t>
      </w:r>
    </w:p>
    <w:p>
      <w:pPr>
        <w:spacing w:after="80" w:line="276" w:lineRule="auto"/>
      </w:pPr>
      <w:r>
        <w:t>The construct of burnout originated in the occupational health literature through Freudenberger [38] clinical observations and was subsequently operationalized by Maslach and Jackson [39] as a three-dimensional syndrome comprising emotional exhaustion, depersonalization, and reduced personal accomplishment. The Maslach Burnout Inventory (MBI) and its variants have since become the most widely adopted measurement instruments, accumulating over four decades of psychometric evidence across professional populations [5, 37].</w:t>
      </w:r>
    </w:p>
    <w:p>
      <w:pPr>
        <w:spacing w:after="80" w:line="276" w:lineRule="auto"/>
      </w:pPr>
      <w:r>
        <w:t>The extension of burnout research to educational settings followed Schaufeli et al. [6] development of the Maslach Burnout Inventory-Student Survey (MBI-SS), which re-conceptualized the three core dimensions in academic terms: exhaustion (feeling drained by study demands), cynicism (an indifferent or detached attitude toward one's coursework), and reduced academic efficacy (a declining sense of competence as a learner). This adaptation was grounded in the recognition that students, like workers, operate under sustained performance demands within institutional structures that exert evaluative pressure [6, 14, 38]. Subsequent validation studies have confirmed the factorial structure of the MBI-SS across diverse cultural contexts, including European [3, 39], North American [39, 40], and East Asian [41] samples.</w:t>
      </w:r>
    </w:p>
    <w:p>
      <w:pPr>
        <w:spacing w:after="80" w:line="276" w:lineRule="auto"/>
      </w:pPr>
      <w:r>
        <w:t>More recent conceptualizations have expanded beyond the MBI-SS to incorporate behavioral and physiological markers. Madigan and Curran [1] argued in their large-scale meta-analysis that burnout should be understood not merely as an affective state but as a dynamic process embedded in students' daily routines - sleep patterns, digital habits, physical activity, and social interactions [42–44]. This process-oriented view aligns with the present study's operationalization of burnout through behavioral features rather than exclusively through psychometric scale scores. Similarly, Walburg [45] and Salmela-Aro and Upadyaya [32] emphasized that burnout manifests along a continuum from mild disengagement to severe functional impairment, supporting a multi-tiered severity classification (Low, Medium, High) as a more ecologically valid approach for conceptual measurement [45, 46], though ML modeling in this study utilizes binary dichotomization (High vs. Low/Medium) for robust prediction.</w:t>
      </w:r>
    </w:p>
    <w:p>
      <w:pPr>
        <w:pStyle w:val="Heading3"/>
        <w:spacing w:before="200" w:after="60"/>
      </w:pPr>
      <w:r>
        <w:rPr>
          <w:color w:val="047857"/>
        </w:rPr>
        <w:t>2.2 Prevalence and Consequences of Student Burnout</w:t>
      </w:r>
    </w:p>
    <w:p>
      <w:pPr>
        <w:spacing w:after="80" w:line="276" w:lineRule="auto"/>
      </w:pPr>
      <w:r>
        <w:t>Epidemiological evidence paints a concerning portrait. Frajerman et al. [7] systematic review of 24 studies across 15 countries estimated that the pooled prevalence of clinically significant burnout among university students ranged from 28% to 55%, with medical and engineering students exhibiting the highest rates [47, 48]. Erschens et al. [8] reported similar figures in a meta-analysis restricted to medical education, finding that approximately 44% of medical students globally met criteria for emotional exhaustion [49]. More recent evidence suggests that these rates may have escalated since 2020. Almutairi et al. [9] found that burnout prevalence among Saudi Arabian university students reached 61% in post-pandemic cohorts, up from approximately 38% in pre-pandemic samples [50]. Comparable post-pandemic elevations have been documented in Turkey [51], India [19], Brazil [52, 53, 57], and Bangladesh [112].</w:t>
      </w:r>
    </w:p>
    <w:p>
      <w:pPr>
        <w:spacing w:after="80" w:line="276" w:lineRule="auto"/>
      </w:pPr>
      <w:r>
        <w:t>In South Asia specifically, Hossain and Rahman [13] reported that 47% of Bangladeshi undergraduates surveyed across six universities in Dhaka exhibited moderate to severe burnout, with particularly elevated rates among students in private universities where sleep deprivation and employment constraints compound academic pressure [54]. Systematic reviews by Ali et al. [107] and Hossen et al. [111] corroborated these findings, noting widespread psychological distress, anxiety (r = .54), and depression (r = .61) among Bangladeshi undergraduates [55]. Faisal et al. [14] extended these observations across public and private institutions, where limited mental health infrastructure and academic pressure were identified as structural contributors to burnout.</w:t>
      </w:r>
    </w:p>
    <w:p>
      <w:pPr>
        <w:spacing w:after="80" w:line="276" w:lineRule="auto"/>
      </w:pPr>
      <w:r>
        <w:t>The consequences of untreated burnout are far-reaching. Longitudinal evidence demonstrates that burnout predicts academic underperformance [31], increased dropout intention [56], substance use [48], suicidal ideation [49], and diminished post-graduation career satisfaction [50]. In developing-country contexts, where repeat enrollment or career redirection is constrained by economic realities, the costs of burnout-related attrition extend to families and communities [11].</w:t>
      </w:r>
    </w:p>
    <w:p>
      <w:pPr>
        <w:pStyle w:val="Heading3"/>
        <w:spacing w:before="200" w:after="60"/>
      </w:pPr>
      <w:r>
        <w:rPr>
          <w:color w:val="047857"/>
        </w:rPr>
        <w:t>2.3 Predictors and Correlates of Student Burnout</w:t>
      </w:r>
    </w:p>
    <w:p>
      <w:pPr>
        <w:spacing w:after="80" w:line="276" w:lineRule="auto"/>
      </w:pPr>
      <w:r>
        <w:t>A substantial body of research has examined factors associated with burnout across multiple levels of analysis. For organizational clarity, these are grouped into four categories that correspond to the factor clusters in the present study's conceptual framework.</w:t>
      </w:r>
    </w:p>
    <w:p>
      <w:pPr>
        <w:pStyle w:val="Heading4"/>
        <w:spacing w:before="160" w:after="40"/>
      </w:pPr>
      <w:r>
        <w:t>2.3.1 Academic Demands</w:t>
      </w:r>
    </w:p>
    <w:p>
      <w:pPr>
        <w:spacing w:after="80" w:line="276" w:lineRule="auto"/>
      </w:pPr>
      <w:r>
        <w:t>Academic workload, assessment frequency, and perceived course difficulty are consistently among the strongest correlates of burnout [1]. Salmela-Aro and Upadyaya [32] demonstrated in a four-wave longitudinal study that escalating study demands during the transition from first to second year predicted burnout trajectories even after controlling for baseline mental health. Robotham and Julian [61] found that the subjective perception of workload manageability was a stronger predictor than objective hours invested, suggesting that cognitive appraisal mediates the demand-burnout pathway. More recently, Vizoso et al. [4] reported that academic pressure explained 28% of the variance in emotional exhaustion in a Spanish university sample, highlighting the prominent role of academic stressors in student burnout.</w:t>
      </w:r>
    </w:p>
    <w:p>
      <w:pPr>
        <w:pStyle w:val="Heading4"/>
        <w:spacing w:before="160" w:after="40"/>
      </w:pPr>
      <w:r>
        <w:t>2.3.2 Psychological Factors</w:t>
      </w:r>
    </w:p>
    <w:p>
      <w:pPr>
        <w:spacing w:after="80" w:line="276" w:lineRule="auto"/>
      </w:pPr>
      <w:r>
        <w:t>Stress, anxiety, and depression form a cluster of highly intercorrelated predictors that frequently co-occur with burnout [42, 43]. The meta-analytic work of Bianchi et al. [49] demonstrated a substantial overlap between burnout and depression (pooled r = .52), reigniting debate about whether burnout constitutes a distinct syndrome or a context-specific variant of depressive disorder. Regardless of nosological boundaries, studies consistently report that elevated anxiety scores [44], trait neuroticism [46], and perceived helplessness [47] amplify burnout risk. Financial stress has received growing attention as a psychosocial stressor that intersects with academic demands; Richardson et al. [58] found that students experiencing financial hardship were 1.8 times more likely to report high burnout, and Walsemann et al. [59] documented a dose-response relationship between cumulative student debt and burnout symptoms.</w:t>
      </w:r>
    </w:p>
    <w:p>
      <w:pPr>
        <w:pStyle w:val="Heading4"/>
        <w:spacing w:before="160" w:after="40"/>
      </w:pPr>
      <w:r>
        <w:t>2.3.3 Lifestyle and Behavioral Factors</w:t>
      </w:r>
    </w:p>
    <w:p>
      <w:pPr>
        <w:spacing w:after="80" w:line="276" w:lineRule="auto"/>
      </w:pPr>
      <w:r>
        <w:t>Sleep has emerged as one of the most consistent behavioral predictors of burnout. Hershner and Chervin [63, 78] reported that insufficient sleep duration (&lt; 6 hours per night) was associated with a two-fold increase in burnout risk among college students, and subsequent research has confirmed that sleep quality and circadian disruptions may be even stronger predictors than duration alone [64, 65, 66]. Physical activity serves as a protective factor; Naczenski et al. [62] found in a meta-analysis of 26 studies that regular moderate exercise reduced burnout symptoms by approximately 0.4 standard deviations. Conversely, excessive screen time - particularly recreational social media use - has been linked to heightened burnout through both displacement of study time and adverse effects on sleep architecture and psychological distress [60–63]. Fang et al. [110] and Ng et al. [115] reported that students spending more than four hours daily on social media exhibited significantly elevated exhaustion and cynicism scores compared to those with lower usage, a finding with direct relevance to the South Asian context where smartphone penetration among university students exceeds 95% [12].</w:t>
      </w:r>
    </w:p>
    <w:p>
      <w:pPr>
        <w:pStyle w:val="Heading4"/>
        <w:spacing w:before="160" w:after="40"/>
      </w:pPr>
      <w:r>
        <w:t>2.3.4 Sociodemographic and Structural Factors</w:t>
      </w:r>
    </w:p>
    <w:p>
      <w:pPr>
        <w:spacing w:after="80" w:line="276" w:lineRule="auto"/>
      </w:pPr>
      <w:r>
        <w:t>Gender differences in burnout have been documented but remain inconsistent in direction. Purvanova and Muros [116] found in a meta-analysis that female students reported higher emotional exhaustion, whereas male students exhibited higher cynicism. Academic year effects are similarly variable, with some studies identifying a peak in burnout during the second or third year [3] and others finding elevated rates during the final year or during clinical placements in health professions [8]. Institutional factors - class size, faculty accessibility, counseling availability, and internet infrastructure - have received less quantitative attention but are highlighted in qualitative research as important contextual moderators [10]. Social support from peers, family, and faculty consistently buffers burnout; a meta-analysis by Kim et al. [71] reported a mean effect size of r = .35, indicating a moderate protective association. Attendance regularity and GPA, while sometimes treated as outcomes of burnout, also function as proximal indicators of engagement and have been included as predictive features in several recent ML studies [18, 19].</w:t>
      </w:r>
    </w:p>
    <w:p>
      <w:pPr>
        <w:pStyle w:val="Heading3"/>
        <w:spacing w:before="200" w:after="60"/>
      </w:pPr>
      <w:r>
        <w:rPr>
          <w:color w:val="047857"/>
        </w:rPr>
        <w:t>2.4 Machine Learning Applications in Educational and Mental Health Prediction</w:t>
      </w:r>
    </w:p>
    <w:p>
      <w:pPr>
        <w:spacing w:after="80" w:line="276" w:lineRule="auto"/>
      </w:pPr>
      <w:r>
        <w:t>The application of ML to student outcome prediction has expanded substantially over the past five years, driven by the availability of large educational datasets, advances in ensemble methods, and institutional demand for data-informed decision-making [64–66].</w:t>
      </w:r>
    </w:p>
    <w:p>
      <w:pPr>
        <w:pStyle w:val="Heading4"/>
        <w:spacing w:before="160" w:after="40"/>
      </w:pPr>
      <w:r>
        <w:t>2.4.1 Supervised Classification for Student Outcomes</w:t>
      </w:r>
    </w:p>
    <w:p>
      <w:pPr>
        <w:spacing w:after="80" w:line="276" w:lineRule="auto"/>
      </w:pPr>
      <w:r>
        <w:t>Iatrellis et al. [19] compared logistic regression, random forest, and gradient boosting classifiers for predicting student dropout in Greek universities, finding that gradient boosting achieved the highest AUC (0.89) on a dataset of 15,000 records. Shahiri et al. [75] reviewed 30 studies employing ML for academic performance prediction and concluded that decision tree and neural network models were most commonly used, though ensemble methods consistently outperformed single learners. More recent work by Alhazmi and Sheneamer [76] applied gradient boosting and XGBoost [96] architectures in higher education settings, achieving high predictive accuracy for identifying students at risk of academic failure.</w:t>
      </w:r>
    </w:p>
    <w:p>
      <w:pPr>
        <w:pStyle w:val="Heading4"/>
        <w:spacing w:before="160" w:after="40"/>
      </w:pPr>
      <w:r>
        <w:t>2.4.2 ML for Mental Health and Burnout Prediction</w:t>
      </w:r>
    </w:p>
    <w:p>
      <w:pPr>
        <w:spacing w:after="80" w:line="276" w:lineRule="auto"/>
      </w:pPr>
      <w:r>
        <w:t>Direct ML applications to burnout prediction are fewer but growing. Prior studies have trained random forest and support vector machine classifiers on student cohorts, demonstrating the feasibility of predicting binary burnout categories from behavioral and psychological inputs. Other researchers have extended student burnout prediction to multiclass settings, comparing various machine learning algorithms and reporting that gradient boosting models achieved high predictive performance on larger datasets [67, 68]. Other machine learning studies have successfully incorporated behavioral features (such as sleep, exercise, and social media) alongside psychometric scores, demonstrating that behavioral patterns contribute substantial predictive power in identifying student stress and burnout. In the broader mental health domain, Priya et al. [77] used random forest to predict depression from social media and self-report data (AUC = 0.87), demonstrating the utility of machine learning algorithms for anxiety and stress screening on self-report datasets [79].</w:t>
      </w:r>
    </w:p>
    <w:p>
      <w:pPr>
        <w:pStyle w:val="Heading4"/>
        <w:spacing w:before="160" w:after="40"/>
      </w:pPr>
      <w:r>
        <w:t>2.4.3 Limitations of Existing ML Studies</w:t>
      </w:r>
    </w:p>
    <w:p>
      <w:pPr>
        <w:spacing w:after="80" w:line="276" w:lineRule="auto"/>
      </w:pPr>
      <w:r>
        <w:t>Three persistent limitations constrain the translational value of existing ML-based burnout prediction. First, most studies rely on single-source datasets with internal cross-validation alone, providing no evidence that models generalize beyond the training population [20]. Second, sample sizes frequently fall below 10,000, limiting the capacity of complex models to learn stable feature interactions [80]. Third, many studies report accuracy as the sole evaluation metric, neglecting calibration, class-specific performance, and decision-theoretically relevant measures such as precision-recall curves [69, 81]. The present study addresses all three limitations through its use of a primary survey training set, comprehensive multi-metric evaluation.</w:t>
      </w:r>
    </w:p>
    <w:p>
      <w:pPr>
        <w:pStyle w:val="Heading3"/>
        <w:spacing w:before="200" w:after="60"/>
      </w:pPr>
      <w:r>
        <w:rPr>
          <w:color w:val="047857"/>
        </w:rPr>
        <w:t>2.5 Explainable AI in Predictive Modeling</w:t>
      </w:r>
    </w:p>
    <w:p>
      <w:pPr>
        <w:spacing w:after="80" w:line="276" w:lineRule="auto"/>
      </w:pPr>
      <w:r>
        <w:t>The tension between predictive accuracy and interpretability - sometimes termed the "accuracy-interpretability trade-off" - has motivated a rapidly growing literature on XAI methods [23, 24, 25].</w:t>
      </w:r>
    </w:p>
    <w:p>
      <w:pPr>
        <w:pStyle w:val="Heading4"/>
        <w:spacing w:before="160" w:after="40"/>
      </w:pPr>
      <w:r>
        <w:t>2.5.1 SHAP (SHapley Additive exPlanations)</w:t>
      </w:r>
    </w:p>
    <w:p>
      <w:pPr>
        <w:spacing w:after="80" w:line="276" w:lineRule="auto"/>
      </w:pPr>
      <w:r>
        <w:t>Lundberg and Lee [24] proposed SHAP as a unified framework for feature attribution grounded in cooperative game theory. SHAP values satisfy three desirable axiomatic properties - local accuracy, missingness, and consistency - that other feature importance methods (e.g., information gain, Gini impurity) do not guarantee [70]. In educational applications, Tsiakmaki et al. [82] used SHAP to explain random forest predictions of student performance and found that study hours and prior GPA were the most influential features globally, while individual SHAP plots revealed substantial heterogeneity across student subgroups. Previous work utilizing SHAP on student classifiers has identified emotional regulation and sleep quality as influential contributors, providing interpretable insights for interventions.</w:t>
      </w:r>
    </w:p>
    <w:p>
      <w:pPr>
        <w:pStyle w:val="Heading4"/>
        <w:spacing w:before="160" w:after="40"/>
      </w:pPr>
      <w:r>
        <w:t>2.5.2 Permutation Importance and Feature Importance</w:t>
      </w:r>
    </w:p>
    <w:p>
      <w:pPr>
        <w:spacing w:after="80" w:line="276" w:lineRule="auto"/>
      </w:pPr>
      <w:r>
        <w:t>Permutation importance [88] estimates a feature's contribution by measuring the degradation in model performance when the feature's values are randomly shuffled, though unrestricted permutation can force extrapolation beyond the data distribution [88]. Unlike impurity-based importance, permutation importance is model-agnostic and unbiased toward high-cardinality features [72]. Built-in feature importance from tree-based ensembles (e.g., Gini importance in random forests [85, 86], gain in XGBoost [96]) provides computationally efficient but potentially biased rankings [73]. Gradient boosting algorithms use a greedy function approximation to iteratively minimize prediction error [87]. Best practice recommends reporting both methods alongside SHAP to assess consistency [23], a protocol the present study follows.</w:t>
      </w:r>
    </w:p>
    <w:p>
      <w:pPr>
        <w:pStyle w:val="Heading4"/>
        <w:spacing w:before="160" w:after="40"/>
      </w:pPr>
      <w:r>
        <w:t>2.5.3 Partial Dependence Plots and Local Explanations</w:t>
      </w:r>
    </w:p>
    <w:p>
      <w:pPr>
        <w:spacing w:after="80" w:line="276" w:lineRule="auto"/>
      </w:pPr>
      <w:r>
        <w:t>Partial dependence plots [74] visualize the marginal effect of one or two features on the predicted outcome, averaging over all other features. While useful for capturing global trends, PDPs can be misleading when features are correlated, as unrestricted marginal averaging can force predictions into regions unsupported by the training data [88]. Individual Conditional Expectation (ICE) plots [89] address this limitation by displaying the effect for each observation individually. Together with local SHAP waterfall and force plots, these methods enable case-level explanation - a critical requirement for early-warning systems that must justify flagging a specific student as at-risk [23, 25].</w:t>
      </w:r>
    </w:p>
    <w:p>
      <w:pPr>
        <w:pStyle w:val="Heading4"/>
        <w:spacing w:before="160" w:after="40"/>
      </w:pPr>
      <w:r>
        <w:t>2.5.4 XAI Gaps in Burnout Research</w:t>
      </w:r>
    </w:p>
    <w:p>
      <w:pPr>
        <w:spacing w:after="80" w:line="276" w:lineRule="auto"/>
      </w:pPr>
      <w:r>
        <w:t>Despite the availability of these tools, most ML-based burnout studies either omit interpretability analysis entirely or restrict it to a single global feature ranking (typically Gini importance [90]). Systematic XAI analysis using SHAP feature attributions remains rare in educational mental health applications [23]. The present study fills this gap by applying SHAP analysis systematically to the best-performing model to extract global feature importance hierarchies.</w:t>
      </w:r>
    </w:p>
    <w:p>
      <w:pPr>
        <w:pStyle w:val="Heading3"/>
        <w:spacing w:before="200" w:after="60"/>
      </w:pPr>
      <w:r>
        <w:rPr>
          <w:color w:val="047857"/>
        </w:rPr>
        <w:t>2.6 Internal Validation and Model Robustness</w:t>
      </w:r>
    </w:p>
    <w:p>
      <w:pPr>
        <w:spacing w:after="80" w:line="276" w:lineRule="auto"/>
      </w:pPr>
      <w:r>
        <w:t>Within educational ML research, rigorous internal validation procedures are critical to prevent overfitting, particularly when modeling high-dimensional psychometric data. A systematic review by Namoun and Alshanqiti [91] highlighted that many ML studies predicting student outcomes fail to employ strict k-fold cross-validation, risking inflated performance metrics. The present study addresses this by implementing a 10-Fold stratified cross-validation framework on the primary survey dataset (N=601). While external validation on a completely independent sample (as recommended by TRIPOD guidelines [30, 114]) remains the gold standard for clinical deployment, robust internal cross-validation constitutes a necessary first step for exploratory model building, though future work should pursue external validation on independent samples.</w:t>
      </w:r>
    </w:p>
    <w:p>
      <w:pPr>
        <w:pStyle w:val="Heading3"/>
        <w:spacing w:before="200" w:after="60"/>
      </w:pPr>
      <w:r>
        <w:rPr>
          <w:color w:val="047857"/>
        </w:rPr>
        <w:t>2.7 Mixed-Methods Approaches in Burnout Research</w:t>
      </w:r>
    </w:p>
    <w:p>
      <w:pPr>
        <w:spacing w:after="80" w:line="276" w:lineRule="auto"/>
      </w:pPr>
      <w:r>
        <w:t>Mixed-methods research designs integrate quantitative and qualitative data within a single study to produce inferences that neither strand can generate alone [25, 26]. Johnson et al. [28] argued that mixed-methods approaches are particularly valuable when the research problem involves both prediction (well-served by quantitative methods) and understanding (requiring qualitative depth), a characterization that applies directly to burnout research.</w:t>
      </w:r>
    </w:p>
    <w:p>
      <w:pPr>
        <w:spacing w:after="80" w:line="276" w:lineRule="auto"/>
      </w:pPr>
      <w:r>
        <w:t>Several typologies of mixed-methods designs have been proposed. In accordance with Creswell and Plano Clark's [26] framework, the present study employs an explanatory sequential mixed-methods design (QUAN → QUAL). In this architecture, quantitative survey screening and machine learning modeling (QUAN phase) are executed first to establish population-level predictive patterns and feature importance hierarchies. Subsequently, a purposively selected sub-sample of N = 20 participants across burnout tiers is engaged in qualitative semi-structured interviews (QUAL phase) to explain, contextualize, and elaborate upon the quantitative findings.</w:t>
      </w:r>
    </w:p>
    <w:p>
      <w:pPr>
        <w:spacing w:after="80" w:line="276" w:lineRule="auto"/>
      </w:pPr>
      <w:r>
        <w:t>Within the burnout literature specifically, mixed-methods designs are strikingly underrepresented. Bask and Salmela-Aro [60] combined latent class trajectory modeling with follow-up interviews to study burnout trajectories in Finnish adolescents, demonstrating that qualitative data revealed coping mechanisms invisible to quantitative models. Walburg [45] used student diaries alongside questionnaire data to triangulate burnout trajectories among French undergraduates. In the South Asian context, Faisal et al. [14] employed cross-institutional survey designs examining burnout across Bangladeshi public and private universities, though these quantitative studies did not include ML modeling or systematic qualitative follow-up.</w:t>
      </w:r>
    </w:p>
    <w:p>
      <w:pPr>
        <w:spacing w:after="80" w:line="276" w:lineRule="auto"/>
      </w:pPr>
      <w:r>
        <w:t>Within the student burnout literature specifically, research integrating machine learning classification with local XAI explanations and systematic qualitative thematic analysis within a unified mixed-methods design remains exceptionally rare. This methodological separation represents the central gap that the present investigation addresses.</w:t>
      </w:r>
    </w:p>
    <w:p>
      <w:pPr>
        <w:pStyle w:val="Heading3"/>
        <w:spacing w:before="200" w:after="60"/>
      </w:pPr>
      <w:r>
        <w:rPr>
          <w:color w:val="047857"/>
        </w:rPr>
        <w:t>2.8 Synthesis of Research Gaps and Rationale for the Present Study</w:t>
      </w:r>
    </w:p>
    <w:p>
      <w:pPr>
        <w:spacing w:after="80" w:line="276" w:lineRule="auto"/>
      </w:pPr>
      <w:r>
        <w:t>The preceding review reveals five interconnected gaps in the current literature:</w:t>
      </w:r>
    </w:p>
    <w:p>
      <w:pPr>
        <w:spacing w:after="80" w:line="276" w:lineRule="auto"/>
      </w:pPr>
      <w:r>
        <w:t>Gap 1: Overreliance on single-dataset internal evaluation. Many studies lack rigorous 10-Fold cross-validation, limiting the robustness of their predictive models.</w:t>
      </w:r>
    </w:p>
    <w:p>
      <w:pPr>
        <w:spacing w:after="80" w:line="276" w:lineRule="auto"/>
      </w:pPr>
      <w:r>
        <w:t>Gap 2: Shallow interpretability. Most studies that employ ML for burnout prediction either omit interpretability analysis or rely on opaque feature rankings. The present study applies SHAP feature attributions [23] to provide interpretable explanations for model predictions [21, 24].</w:t>
      </w:r>
    </w:p>
    <w:p>
      <w:pPr>
        <w:spacing w:after="80" w:line="276" w:lineRule="auto"/>
      </w:pPr>
      <w:r>
        <w:t>Gap 3: Limited contextual diversity and single-population focus. Many existing studies train ML models on convenience samples from single institutions or Western-centric populations, limiting generalizability [80]. The present study contributes a primary survey dataset baseline from multiple Bangladeshi universities spanning diverse institutional types under rigorous 10-fold stratified cross-validation, while acknowledging multi-center external validation across independent international populations as necessary future work.</w:t>
      </w:r>
    </w:p>
    <w:p>
      <w:pPr>
        <w:spacing w:after="80" w:line="276" w:lineRule="auto"/>
      </w:pPr>
      <w:r>
        <w:t>Gap 4: Methodological disconnect. Quantitative ML models and qualitative burnout scholarship have developed largely in parallel, with limited empirical integration through formal mixed-methods triangulation protocols capable of yielding contextualized meta-inferences [26].</w:t>
      </w:r>
    </w:p>
    <w:p>
      <w:pPr>
        <w:spacing w:after="80" w:line="276" w:lineRule="auto"/>
      </w:pPr>
      <w:r>
        <w:t>Gap 5: Absence of theoretically grounded feature engineering. The majority of ML-based burnout studies rely on raw psychometric scale scores as model inputs, without constructing domain-specific composite features that operationalize established theoretical constructs (e.g., the demand-to-resource ratio of JD-R theory, or the resource depletion pathway of COR theory). This limits the model's capacity to capture complex, theoretically meaningful interaction effects and reduces interpretability in terms of established burnout frameworks [30, 33].</w:t>
      </w:r>
    </w:p>
    <w:p>
      <w:pPr>
        <w:spacing w:after="80" w:line="276" w:lineRule="auto"/>
      </w:pPr>
      <w:r>
        <w:t>The present study addresses all five gaps simultaneously through an explanatory sequential mixed-methods design (QUAN → QUAL) that:</w:t>
      </w:r>
    </w:p>
    <w:p>
      <w:pPr>
        <w:spacing w:after="80" w:line="276" w:lineRule="auto"/>
      </w:pPr>
      <w:r>
        <w:t>1. Trains ten supervised ML classifiers and a Soft Voting Ensemble on the primary survey dataset (N = 601) with comprehensive multi-metric evaluation via 10-fold stratified cross-validation (addressing Gap 1).</w:t>
      </w:r>
    </w:p>
    <w:p>
      <w:pPr>
        <w:spacing w:after="80" w:line="276" w:lineRule="auto"/>
      </w:pPr>
      <w:r>
        <w:t>2. Applies SHAP feature attribution analysis to the best-performing model to unpack global predictive mechanics (addressing Gap 2).</w:t>
      </w:r>
    </w:p>
    <w:p>
      <w:pPr>
        <w:spacing w:after="80" w:line="276" w:lineRule="auto"/>
      </w:pPr>
      <w:r>
        <w:t>3. Contributes a primary survey dataset drawn from multiple Bangladeshi universities spanning diverse institutional types, providing an ecologically valid non-Western context for burnout ML research (addressing Gap 3).</w:t>
      </w:r>
    </w:p>
    <w:p>
      <w:pPr>
        <w:spacing w:after="80" w:line="276" w:lineRule="auto"/>
      </w:pPr>
      <w:r>
        <w:t>4. Conducts systematic qualitative thematic analysis of semi-structured interview data from 20 Bangladeshi university students using open, axial, and selective coding, then integrates findings through a structured triangulation protocol (addressing Gap 4).</w:t>
      </w:r>
    </w:p>
    <w:p>
      <w:pPr>
        <w:spacing w:after="80" w:line="276" w:lineRule="auto"/>
      </w:pPr>
      <w:r>
        <w:t>5. Engineers nine theoretically grounded composite features (e.g., Burnout Vulnerability Index, Screen-to-Sleep Ratio, Psychological Strain Index) that operationalize JD-R and COR constructs, directly embedding burnout theory into the predictive feature space (addressing Gap 5).</w:t>
      </w:r>
    </w:p>
    <w:p>
      <w:pPr>
        <w:spacing w:after="80" w:line="276" w:lineRule="auto"/>
      </w:pPr>
      <w:r>
        <w:t>Table 1 provides a structured comparison of the present study against key prior works across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[123]</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[115]</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[112]</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[111]</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rPr>
                <w:b/>
              </w:rPr>
              <w:t>Present study</w:t>
            </w:r>
          </w:p>
        </w:tc>
        <w:tc>
          <w:tcPr>
            <w:tcW w:type="dxa" w:w="1170"/>
            <w:tcBorders>
              <w:top w:val="single" w:color="94A3B8" w:sz="4"/>
              <w:left w:val="none"/>
              <w:bottom w:val="single" w:color="94A3B8" w:sz="4"/>
              <w:right w:val="none"/>
            </w:tcBorders>
          </w:tcPr>
          <w:p>
            <w:r/>
            <w:r>
              <w:rPr>
                <w:b/>
              </w:rPr>
              <w:t>University Student Academic Burnout</w:t>
            </w:r>
          </w:p>
        </w:tc>
        <w:tc>
          <w:tcPr>
            <w:tcW w:type="dxa" w:w="1170"/>
            <w:tcBorders>
              <w:top w:val="single" w:color="94A3B8" w:sz="4"/>
              <w:left w:val="none"/>
              <w:bottom w:val="single" w:color="94A3B8" w:sz="4"/>
              <w:right w:val="none"/>
            </w:tcBorders>
          </w:tcPr>
          <w:p>
            <w:r/>
            <w:r>
              <w:rPr>
                <w:b/>
              </w:rPr>
              <w:t>601</w:t>
            </w:r>
          </w:p>
        </w:tc>
        <w:tc>
          <w:tcPr>
            <w:tcW w:type="dxa" w:w="1170"/>
            <w:tcBorders>
              <w:top w:val="single" w:color="94A3B8" w:sz="4"/>
              <w:left w:val="none"/>
              <w:bottom w:val="single" w:color="94A3B8" w:sz="4"/>
              <w:right w:val="none"/>
            </w:tcBorders>
          </w:tcPr>
          <w:p>
            <w:r/>
            <w:r>
              <w:rPr>
                <w:b/>
              </w:rPr>
              <w:t>10 models + Soft Voting Ensemble</w:t>
            </w:r>
          </w:p>
        </w:tc>
        <w:tc>
          <w:tcPr>
            <w:tcW w:type="dxa" w:w="1170"/>
            <w:tcBorders>
              <w:top w:val="single" w:color="94A3B8" w:sz="4"/>
              <w:left w:val="none"/>
              <w:bottom w:val="single" w:color="94A3B8" w:sz="4"/>
              <w:right w:val="none"/>
            </w:tcBorders>
          </w:tcPr>
          <w:p>
            <w:r/>
            <w:r>
              <w:rPr>
                <w:b/>
              </w:rPr>
              <w:t>SHAP (Global + Local) + PI + FI</w:t>
            </w:r>
          </w:p>
        </w:tc>
        <w:tc>
          <w:tcPr>
            <w:tcW w:type="dxa" w:w="1170"/>
            <w:tcBorders>
              <w:top w:val="single" w:color="94A3B8" w:sz="4"/>
              <w:left w:val="none"/>
              <w:bottom w:val="single" w:color="94A3B8" w:sz="4"/>
              <w:right w:val="none"/>
            </w:tcBorders>
          </w:tcPr>
          <w:p>
            <w:r/>
            <w:r>
              <w:rPr>
                <w:b/>
              </w:rPr>
              <w:t>10-Fold Stratified CV + Subgroup</w:t>
            </w:r>
          </w:p>
        </w:tc>
        <w:tc>
          <w:tcPr>
            <w:tcW w:type="dxa" w:w="1170"/>
            <w:tcBorders>
              <w:top w:val="single" w:color="94A3B8" w:sz="4"/>
              <w:left w:val="none"/>
              <w:bottom w:val="single" w:color="94A3B8" w:sz="4"/>
              <w:right w:val="none"/>
            </w:tcBorders>
          </w:tcPr>
          <w:p>
            <w:r/>
            <w:r>
              <w:rPr>
                <w:b/>
              </w:rPr>
              <w:t>Yes (N = 20 interviews)</w:t>
            </w:r>
          </w:p>
        </w:tc>
        <w:tc>
          <w:tcPr>
            <w:tcW w:type="dxa" w:w="1170"/>
            <w:tcBorders>
              <w:top w:val="single" w:color="94A3B8" w:sz="4"/>
              <w:left w:val="none"/>
              <w:bottom w:val="single" w:color="94A3B8" w:sz="4"/>
              <w:right w:val="none"/>
            </w:tcBorders>
          </w:tcPr>
          <w:p>
            <w:r/>
            <w:r>
              <w:rPr>
                <w:b/>
              </w:rP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spacing w:after="80" w:line="276" w:lineRule="auto"/>
      </w:pPr>
      <w:r>
        <w:t>This configuration represents a methodologically comprehensive explanatory sequential mixed-methods ML framework specifically applied to student burnout prediction in the Bangladeshi higher education context. The following section details the methodology that operationalizes this framework.</w:t>
      </w:r>
    </w:p>
    <w:p>
      <w:pPr>
        <w:pStyle w:val="Heading2"/>
        <w:spacing w:before="240" w:after="80"/>
      </w:pPr>
      <w:r>
        <w:rPr>
          <w:color w:val="1E3A8A"/>
        </w:rPr>
        <w:t>3. Materials and Methods</w:t>
      </w:r>
    </w:p>
    <w:p>
      <w:pPr>
        <w:pStyle w:val="Heading3"/>
        <w:spacing w:before="200" w:after="60"/>
      </w:pPr>
      <w:r>
        <w:rPr>
          <w:color w:val="047857"/>
        </w:rPr>
        <w:t>3.1 Research Design</w:t>
      </w:r>
    </w:p>
    <w:p>
      <w:pPr>
        <w:spacing w:after="80" w:line="276" w:lineRule="auto"/>
      </w:pPr>
      <w:r>
        <w:t>This study employs an explanatory sequential mixed-methods design (QUAN → QUAL) [26], integrating supervised Machine Learning (ML) on quantitative survey data with reflexive thematic analysis of qualitative interviews. In accordance with Creswell and Plano Clark [26], quantitative survey data collection and ML classification (QUAN) were conducted first to identify empirical predictors of burnout. Subsequently, qualitative semi-structured interviews (QUAL) were conducted with a purposively selected sub-sample to explain and elaborate upon the quantitative feature attributions. By triangulating computational predictions with human-centric qualitative data, this methodology addresses the "black box" limitations of standard educational data mining.</w:t>
      </w:r>
    </w:p>
    <w:p>
      <w:pPr>
        <w:pStyle w:val="Heading3"/>
        <w:spacing w:before="200" w:after="60"/>
      </w:pPr>
      <w:r>
        <w:rPr>
          <w:color w:val="047857"/>
        </w:rPr>
        <w:t>3.2 Participants and Sampling</w:t>
      </w:r>
    </w:p>
    <w:p>
      <w:pPr>
        <w:spacing w:after="80" w:line="276" w:lineRule="auto"/>
      </w:pPr>
      <w:r>
        <w:t>The primary quantitative dataset consists of a cross-sectional survey collected via Google Forms from university students in Bangladesh (N = 601). The sample encompasses multiple disciplines, predominantly drawing from Bachelor's (69.2%) and Master's (25.0%) degree students. Gender representation was relatively balanced (Male: 57.2%, Female: 42.8%).</w:t>
      </w:r>
    </w:p>
    <w:p>
      <w:pPr>
        <w:spacing w:after="80" w:line="276" w:lineRule="auto"/>
      </w:pPr>
      <w:r>
        <w:t>Following the quantitative survey analysis, a purposive sub-sample of 20 students was recruited using a nested maximum variation sampling strategy based on initial survey burnout scores (encompassing Low, Medium, and High burnout profiles) to explain the full experiential gradient of academic strain. This qualitative sample size ($N = 20$) aligns with established methodological guidelines for reaching theoretical and thematic data saturation in reflexive thematic analysis [118], and is consistent with Braun and Clarke's [98, 92] recommendation that thematic saturation is typically achievable within 20–30 interviews for relatively homogeneous populations.</w:t>
      </w:r>
    </w:p>
    <w:p>
      <w:pPr>
        <w:pStyle w:val="Heading3"/>
        <w:spacing w:before="200" w:after="60"/>
      </w:pPr>
      <w:r>
        <w:rPr>
          <w:color w:val="047857"/>
        </w:rPr>
        <w:t>3.3 Data Collection Instruments and Validation</w:t>
      </w:r>
    </w:p>
    <w:p>
      <w:pPr>
        <w:spacing w:after="80" w:line="276" w:lineRule="auto"/>
      </w:pPr>
      <w:r>
        <w:t>Quantitative Data: The online survey instrument measured critical academic, lifestyle, and psychological metrics. The primary target variable, academic burnout severity, was operationalized using a single-item, self-rated global burnout metric (`burnout_score`), scored on a 3-point ordinal scale (1 = Low Burnout, 2 = Medium Burnout, 3 = High Burnout). The conceptual domain definition was informed by the core burnout dimensions of the Maslach Burnout Inventory - Student Survey (MBI-SS) [6] and Copenhagen Burnout Inventory (CBI) [93]. For binary classification modeling, the score was thresholded into Low/Medium Burnout (Target = 0, n = 346, 57.57%) versus High Burnout (Target = 1, n = 255, 42.43%).</w:t>
      </w:r>
    </w:p>
    <w:p>
      <w:pPr>
        <w:spacing w:after="80" w:line="276" w:lineRule="auto"/>
      </w:pPr>
      <w:r>
        <w:rPr>
          <w:i/>
        </w:rPr>
        <w:t>Methodological Limitation &amp; Rationale:</w:t>
      </w:r>
      <w:r>
        <w:t xml:space="preserve"> Single-item self-report operationalization offers response-rate and computational efficiency in large-scale exploratory student surveys [41, 57], avoiding survey fatigue while capturing global self-perceived strain. Single-item self-rated burnout measures have demonstrated acceptable concurrent validity with multi-item MBI instruments in large-scale survey contexts [118, 119]. Nonetheless, single-item measures do not replace full multi-item psychometric diagnostic scales such as the MBI-SS or CBI. Future studies should administer the full MBI-SS to establish formal concurrent validity against the present single-item operationalization and report Cronbach's α reliability for composite subscales. This operational choice is explicitly declared as a study limitation (Section 9.10).</w:t>
      </w:r>
    </w:p>
    <w:p>
      <w:pPr>
        <w:spacing w:after="80" w:line="276" w:lineRule="auto"/>
      </w:pPr>
      <w:r>
        <w:t>Qualitative Data: Semi-structured interviews lasting 45-60 minutes were conducted either in-person or via secure digital platforms. In accordance with explanatory sequential mixed-methods guidelines [26], quantitative survey modeling and qualitative thematic coding were structured as sequential analytical phases:</w:t>
      </w:r>
    </w:p>
    <w:p>
      <w:pPr>
        <w:spacing w:after="80" w:line="276" w:lineRule="auto"/>
      </w:pPr>
      <w:r>
        <w:t xml:space="preserve">1. </w:t>
      </w:r>
      <w:r>
        <w:rPr>
          <w:i/>
        </w:rPr>
        <w:t>Sequential Analytical Structure:</w:t>
      </w:r>
      <w:r>
        <w:t xml:space="preserve"> The semi-structured qualitative interview guide was informed by survey findings and theoretical domain constructs (academic workload, psychological distress, digital screen habits, sleep recovery, and institutional coping resources). Qualitative open coding was performed prior to inspecting final ML SHAP importance rankings to prevent confirmatory bias.</w:t>
      </w:r>
    </w:p>
    <w:p>
      <w:pPr>
        <w:spacing w:after="80" w:line="276" w:lineRule="auto"/>
      </w:pPr>
      <w:r>
        <w:t xml:space="preserve">2. </w:t>
      </w:r>
      <w:r>
        <w:rPr>
          <w:i/>
        </w:rPr>
        <w:t>Joint Triangulation Synthesis:</w:t>
      </w:r>
      <w:r>
        <w:t xml:space="preserve"> Convergence mapping between SHAP global feature ranks and qualitative themes occurred during the post-hoc synthesis phase via a formal convergence matrix [99]. This qualitative inquiry yielded both convergent alignments with SHAP predictors (e.g., CGPA anxiety, sleep deprivation) and complementary contextual insights — such as institutional identity strain among National University students — that were omitted from standardized quantitative survey items, illustrating the value of mixed-methods integration.</w:t>
      </w:r>
    </w:p>
    <w:p>
      <w:pPr>
        <w:pStyle w:val="Heading3"/>
        <w:spacing w:before="200" w:after="60"/>
      </w:pPr>
      <w:r>
        <w:rPr>
          <w:color w:val="047857"/>
        </w:rPr>
        <w:t>3.4 Ethical Considerations</w:t>
      </w:r>
    </w:p>
    <w:p>
      <w:pPr>
        <w:spacing w:after="80" w:line="276" w:lineRule="auto"/>
      </w:pPr>
      <w:r>
        <w:t>This study was conducted in accordance with the ethical principles outlined in the Declaration of Helsinki for research involving human subjects. Because the research involved a non-invasive, observational cross-sectional survey and voluntary qualitative interviews with adult university students (aged 18 years or older) carrying minimal psychological risk, participation was strictly voluntary. Formal institutional ethics committee review was exempt under institutional guidelines for minimal-risk educational research.</w:t>
      </w:r>
    </w:p>
    <w:p>
      <w:pPr>
        <w:spacing w:after="80" w:line="276" w:lineRule="auto"/>
      </w:pPr>
      <w:r>
        <w:t>Prior to participation, all respondents provided informed electronic consent after being briefed on the study's purpose, the strictly voluntary nature of participation, and their unconditional right to withdraw at any time without penalty or academic consequence. For qualitative interviewees, additional safeguards were implemented: participants were offered the option to skip any question they found distressing, and contact information for campus counseling services was provided at both the beginning and end of each interview. To guarantee participant confidentiality in qualitative reporting, all real names, institutional affiliations, and identifiable personal markers were removed and replaced with standardized pseudonyms (Participant 1 [P1] through Participant 20 [P20], Private University A, Public University A, National University System) across all published manuscripts, thematic analyses, and supplementary transcript files. Raw interview recordings and identifiable audio transcripts were securely stored on encrypted, password-protected devices accessible exclusively to the primary research team.</w:t>
      </w:r>
    </w:p>
    <w:p>
      <w:pPr>
        <w:pStyle w:val="Heading3"/>
        <w:spacing w:before="200" w:after="60"/>
      </w:pPr>
      <w:r>
        <w:rPr>
          <w:color w:val="047857"/>
        </w:rPr>
        <w:t>3.5 Data Preprocessing and Feature Engineering</w:t>
      </w:r>
    </w:p>
    <w:p>
      <w:pPr>
        <w:spacing w:after="80" w:line="276" w:lineRule="auto"/>
      </w:pPr>
      <w:r>
        <w:t>Prior to model training, a multi-stage data preprocessing and feature engineering pipeline was implemented using the `scikit-learn` framework [94] (Python environment pinned in `requirements.txt`). To enforce strict code hygiene and prevent pipeline versioning divergence, all composite feature engineering logic was encapsulated within a single, modular Python package (`feature_engineering.py`) imported identically across model training, cross-validation, and SHAP interpretability scripts.</w:t>
      </w:r>
    </w:p>
    <w:p>
      <w:pPr>
        <w:spacing w:after="80" w:line="276" w:lineRule="auto"/>
      </w:pPr>
      <w:r>
        <w:t>The primary survey dataset was verified to be complete with zero missing values across all 18 variables, ensuring full retention of all N = 601 participant responses. For binary classification modeling, the target variable (Burnout Score) was mapped into High Burnout (Severity Score = 3) versus Low/Medium Burnout (Severity Scores = 1 and 2) [80].</w:t>
      </w:r>
    </w:p>
    <w:p>
      <w:pPr>
        <w:spacing w:after="80" w:line="276" w:lineRule="auto"/>
      </w:pPr>
      <w:r>
        <w:rPr>
          <w:i/>
        </w:rPr>
        <w:t>Class Imbalance Management &amp; Threshold Calibration:</w:t>
      </w:r>
      <w:r>
        <w:t xml:space="preserve"> To account for the class distribution between High Burnout (n = 255, 42.43%) and Low/Medium Burnout (n = 346, 57.57%) cohorts (imbalance ratio 1:1.36), 10-fold stratified cross-validation was strictly maintained to preserve identical class proportions across all training and test folds. No synthetic oversampling (SMOTE) was introduced to prevent artificial variance inflation on self-report survey items. Under the default decision boundary ($th = 0.50$), the champion Random Forest classifier achieved high specificity (82.37%) and modest recall (43.53%), reflecting standard majority-class thresholding. To enable high-coverage screening, decision threshold optimization was systematically conducted (Section 6.4), where shifting the operating threshold to $th = 0.38$ elevated sensitivity to 71.76% (capturing 183 of 255 high-risk students) for institutional early-warning triage.</w:t>
      </w:r>
    </w:p>
    <w:p>
      <w:pPr>
        <w:spacing w:after="80" w:line="276" w:lineRule="auto"/>
      </w:pPr>
      <w:r>
        <w:rPr>
          <w:i/>
        </w:rPr>
        <w:t>Sensitivity Analysis &amp; Scale Invariance:</w:t>
      </w:r>
      <w:r>
        <w:t xml:space="preserve"> Composite indices use clean unweighted domain summations and ratios (Table 2). Since all models are preceded by StandardScaler normalization within the sklearn Pipeline, the absolute numeric scale of composite indices does not affect model training or classification boundaries — a property verified by confirming that raw and mean-centered composite features yield identical 65.89% cross-validated accuracy.</w:t>
      </w:r>
    </w:p>
    <w:p>
      <w:pPr>
        <w:spacing w:after="80" w:line="276" w:lineRule="auto"/>
      </w:pPr>
      <w:r>
        <w:t>1. Dataset Integrity and Quality Control: The primary survey dataset ($N = 601$) was verified for completeness (zero missing values across all 18 variables). Crucially, to prevent circular data leakage, all engineered features were explicitly audited against the target variable (`target`): Pearson correlations for composite features remained low to moderate (`academic_pressure_score` r = 0.0152, `burnout_vulnerability_index` r = 0.1830), confirming zero target proxy leakage. Construct overlap between composite distress indices and target self-reports is acknowledged as a psychometric characteristic of aggregate survey scales (Section 9.10).</w:t>
      </w:r>
    </w:p>
    <w:p>
      <w:pPr>
        <w:spacing w:after="80" w:line="276" w:lineRule="auto"/>
      </w:pPr>
      <w:r>
        <w:t>2. Explicit Hyperparameter Specifications: To ensure strict reproducibility [108], model hyperparameters were fixed prior to cross-validation evaluation and pinned against a reproducible runtime environment (Python 3.13 / 3.11 with pinned dependencies documented in `requirements.txt`). This design choice prioritises computational reproducibility and cross-model comparability over potential marginal performance gains from automated search. Systematic hyperparameter optimisation via cross-validated grid search (e.g., GridSearchCV or RandomizedSearchCV) is identified as a priority for future work with larger independent validation datasets:</w:t>
      </w:r>
    </w:p>
    <w:p>
      <w:pPr>
        <w:pStyle w:val="ListBullet"/>
        <w:spacing w:after="80" w:line="276" w:lineRule="auto"/>
      </w:pPr>
      <w:r>
        <w:rPr>
          <w:i/>
        </w:rPr>
        <w:t>Random Forest:</w:t>
      </w:r>
      <w:r>
        <w:t xml:space="preserve"> `n_estimators=150, max_depth=8, random_state=42`</w:t>
      </w:r>
    </w:p>
    <w:p>
      <w:pPr>
        <w:pStyle w:val="ListBullet"/>
        <w:spacing w:after="80" w:line="276" w:lineRule="auto"/>
      </w:pPr>
      <w:r>
        <w:rPr>
          <w:i/>
        </w:rPr>
        <w:t>Gradient Boosting:</w:t>
      </w:r>
      <w:r>
        <w:t xml:space="preserve"> `n_estimators=100, learning_rate=0.1, random_state=42`</w:t>
      </w:r>
    </w:p>
    <w:p>
      <w:pPr>
        <w:pStyle w:val="ListBullet"/>
        <w:spacing w:after="80" w:line="276" w:lineRule="auto"/>
      </w:pPr>
      <w:r>
        <w:rPr>
          <w:i/>
        </w:rPr>
        <w:t>LightGBM:</w:t>
      </w:r>
      <w:r>
        <w:t xml:space="preserve"> `n_estimators=100, learning_rate=0.1, random_state=42`</w:t>
      </w:r>
    </w:p>
    <w:p>
      <w:pPr>
        <w:pStyle w:val="ListBullet"/>
        <w:spacing w:after="80" w:line="276" w:lineRule="auto"/>
      </w:pPr>
      <w:r>
        <w:rPr>
          <w:i/>
        </w:rPr>
        <w:t>CatBoost:</w:t>
      </w:r>
      <w:r>
        <w:t xml:space="preserve"> `iterations=150, learning_rate=0.08, random_state=42`</w:t>
      </w:r>
    </w:p>
    <w:p>
      <w:pPr>
        <w:pStyle w:val="ListBullet"/>
        <w:spacing w:after="80" w:line="276" w:lineRule="auto"/>
      </w:pPr>
      <w:r>
        <w:rPr>
          <w:i/>
        </w:rPr>
        <w:t>Logistic Regression:</w:t>
      </w:r>
      <w:r>
        <w:t xml:space="preserve"> `max_iter=1000, C=1.0, random_state=42`</w:t>
      </w:r>
    </w:p>
    <w:p>
      <w:pPr>
        <w:pStyle w:val="ListBullet"/>
        <w:spacing w:after="80" w:line="276" w:lineRule="auto"/>
      </w:pPr>
      <w:r>
        <w:rPr>
          <w:i/>
        </w:rPr>
        <w:t>Extra Trees:</w:t>
      </w:r>
      <w:r>
        <w:t xml:space="preserve"> `n_estimators=100, max_depth=8, random_state=42`</w:t>
      </w:r>
    </w:p>
    <w:p>
      <w:pPr>
        <w:pStyle w:val="ListBullet"/>
        <w:spacing w:after="80" w:line="276" w:lineRule="auto"/>
      </w:pPr>
      <w:r>
        <w:rPr>
          <w:i/>
        </w:rPr>
        <w:t>Support Vector Machine (SVM):</w:t>
      </w:r>
      <w:r>
        <w:t xml:space="preserve"> `kernel='rbf', C=1.0, probability=True, random_state=42`</w:t>
      </w:r>
    </w:p>
    <w:p>
      <w:pPr>
        <w:pStyle w:val="ListBullet"/>
        <w:spacing w:after="80" w:line="276" w:lineRule="auto"/>
      </w:pPr>
      <w:r>
        <w:rPr>
          <w:i/>
        </w:rPr>
        <w:t>Multilayer Perceptron (MLP):</w:t>
      </w:r>
      <w:r>
        <w:t xml:space="preserve"> `hidden_layer_sizes=(64, 32), max_iter=300, random_state=42`</w:t>
      </w:r>
    </w:p>
    <w:p>
      <w:pPr>
        <w:pStyle w:val="ListBullet"/>
        <w:spacing w:after="80" w:line="276" w:lineRule="auto"/>
      </w:pPr>
      <w:r>
        <w:rPr>
          <w:i/>
        </w:rPr>
        <w:t>XGBoost:</w:t>
      </w:r>
      <w:r>
        <w:t xml:space="preserve"> `n_estimators=100, learning_rate=0.3, max_depth=6, random_state=42` (standard default parameters maintained without post-hoc tuning to preserve uniform benchmark comparability; note that higher learning rates were avoided to mitigate potential overfitting risks in small-sample N=601 psychometric data)</w:t>
      </w:r>
    </w:p>
    <w:p>
      <w:pPr>
        <w:pStyle w:val="ListBullet"/>
        <w:spacing w:after="80" w:line="276" w:lineRule="auto"/>
      </w:pPr>
      <w:r>
        <w:rPr>
          <w:i/>
        </w:rPr>
        <w:t>Decision Tree:</w:t>
      </w:r>
      <w:r>
        <w:t xml:space="preserve"> `max_depth=4, random_state=42`</w:t>
      </w:r>
    </w:p>
    <w:p>
      <w:pPr>
        <w:spacing w:after="80" w:line="276" w:lineRule="auto"/>
      </w:pPr>
      <w:r>
        <w:t>3. Domain-Specific Feature Engineering Specifications: Nine non-linear composite features were created to capture psychological and academic interactions. The engineered composite features and their theoretical foundations are detailed in Table 2:</w:t>
      </w:r>
    </w:p>
    <w:p>
      <w:pPr>
        <w:pStyle w:val="Heading3"/>
        <w:spacing w:before="200" w:after="60"/>
      </w:pPr>
      <w:r>
        <w:rPr>
          <w:color w:val="047857"/>
        </w:rPr>
        <w:t>Table 2. Domain-Specific Feature Engineering Specifications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Mathematical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Rationale</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Unweighted summation of core affective distress drivers.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Quantifies structural academic demands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Evaluates total demand exposure against biological and motivational recovery reserves [31].</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Measures cumulative biological exhaustion from sub-optimal sleep duration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Gauges digital displacement of vital biological recovery hours [67].</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Captures total daily cognitive load relative to restorative rest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Normalizes academic achievement weighted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motivational erosion exacerbated by high psychological stress [36].</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Measures net physiological and behavioral coping capacity against stress [34].</w:t>
            </w:r>
          </w:p>
        </w:tc>
      </w:tr>
    </w:tbl>
    <w:p>
      <w:pPr>
        <w:spacing w:before="0" w:after="120"/>
      </w:pPr>
    </w:p>
    <w:p>
      <w:pPr>
        <w:pStyle w:val="Heading3"/>
        <w:spacing w:before="200" w:after="60"/>
      </w:pPr>
      <w:r>
        <w:rPr>
          <w:color w:val="047857"/>
        </w:rPr>
        <w:t>3.6 Machine Learning &amp; Ensemble Pipeline Architecture</w:t>
      </w:r>
    </w:p>
    <w:p>
      <w:pPr>
        <w:spacing w:after="80" w:line="276" w:lineRule="auto"/>
      </w:pPr>
      <w:r>
        <w:t>Ten distinct machine learning classifiers and an advanced Soft Voting Ensemble architecture were deployed to capture both linear and complex non-linear decision boundaries:</w:t>
      </w:r>
    </w:p>
    <w:p>
      <w:pPr>
        <w:spacing w:after="80" w:line="276" w:lineRule="auto"/>
      </w:pPr>
      <w:r>
        <w:t>1. Linear Baseline: Logistic Regression.</w:t>
      </w:r>
    </w:p>
    <w:p>
      <w:pPr>
        <w:spacing w:after="80" w:line="276" w:lineRule="auto"/>
      </w:pPr>
      <w:r>
        <w:t>2. Tree-Based Architectures: Decision Tree, Random Forest, Extra Trees Classifier.</w:t>
      </w:r>
    </w:p>
    <w:p>
      <w:pPr>
        <w:spacing w:after="80" w:line="276" w:lineRule="auto"/>
      </w:pPr>
      <w:r>
        <w:t>3. Gradient Boosting Frameworks: Gradient Boosting Classifier, XGBoost [96], LightGBM [113], CatBoost [97].</w:t>
      </w:r>
    </w:p>
    <w:p>
      <w:pPr>
        <w:spacing w:after="80" w:line="276" w:lineRule="auto"/>
      </w:pPr>
      <w:r>
        <w:t>4. Advanced Non-Linear &amp; Ensemble Models: Support Vector Machine (RBF Kernel), Neural Network (Multilayer Perceptron), and a Soft Voting Ensemble combining Random Forest, Gradient Boosting, LightGBM [113], Logistic Regression, and CatBoost [97] with soft probability averaging (equal weights).</w:t>
      </w:r>
    </w:p>
    <w:p>
      <w:pPr>
        <w:spacing w:after="80" w:line="276" w:lineRule="auto"/>
      </w:pPr>
      <w:r>
        <w:t>The dataset was evaluated using 10-Fold Stratified Cross-Validation, ensuring the proportion of high-burnout cases remained consistent across all folds, thereby preventing data leakage and providing robust generalization metrics.</w:t>
      </w:r>
    </w:p>
    <w:p>
      <w:pPr>
        <w:spacing w:after="80" w:line="276" w:lineRule="auto"/>
      </w:pPr>
      <w:r>
        <w:t>Figure 1: End-to-End Methodology and Machine Learning Pipeline Architecture</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Methodology and Machine Learning Pipeline Architecture</w:t>
      </w:r>
    </w:p>
    <w:p>
      <w:pPr>
        <w:spacing w:after="80" w:line="276" w:lineRule="auto"/>
      </w:pPr>
      <w:r>
        <w:t>Figure 1. End-to-End Methodology and Machine Learning Pipeline Architecture showing data collection, preprocessing, feature engineering, 10-fold CV ensemble training, and XAI evaluation.</w:t>
      </w:r>
    </w:p>
    <w:p>
      <w:pPr>
        <w:pStyle w:val="Heading3"/>
        <w:spacing w:before="200" w:after="60"/>
      </w:pPr>
      <w:r>
        <w:rPr>
          <w:color w:val="047857"/>
        </w:rPr>
        <w:t>3.7 Explainable AI (XAI)</w:t>
      </w:r>
    </w:p>
    <w:p>
      <w:pPr>
        <w:spacing w:after="80" w:line="276" w:lineRule="auto"/>
      </w:pPr>
      <w:r>
        <w:t>To unpack the predictive mechanics of the best-performing models, SHapley Additive exPlanations (SHAP) were applied [23]. SHAP values calculate the marginal contribution of each feature to the final burnout prediction [83], transforming the opaque machine learning output into a transparent, actionable clinical hierarchy.</w:t>
      </w:r>
    </w:p>
    <w:p>
      <w:pPr>
        <w:pStyle w:val="Heading3"/>
        <w:spacing w:before="200" w:after="60"/>
      </w:pPr>
      <w:r>
        <w:rPr>
          <w:color w:val="047857"/>
        </w:rPr>
        <w:t>3.8 Qualitative Analysis and Triangulation Protocol</w:t>
      </w:r>
    </w:p>
    <w:p>
      <w:pPr>
        <w:spacing w:after="80" w:line="276" w:lineRule="auto"/>
      </w:pPr>
      <w:r>
        <w:t>The 20 qualitative interview transcripts were analyzed using Braun and Clarke [98, 92] six-phase framework for reflexive thematic analysis. To maintain methodological rigor and qualitative independence, initial thematic coding was performed independently prior to examining machine learning feature importance outputs. Following the independent completion of both analytical strands, a formal Triangulation Protocol [99] was executed. Convergence matrices mapped SHAP global feature importances directly against emergent qualitative themes, explicitly evaluating convergent findings, complementary contextual nuances, and divergent emergent themes (e.g., institutional identity strain).</w:t>
      </w:r>
    </w:p>
    <w:p>
      <w:pPr>
        <w:spacing w:after="80" w:line="276" w:lineRule="auto"/>
      </w:pPr>
      <w:r>
        <w:t>To establish qualitative coding reliability, a randomly selected 25% subset of transcripts (n = 5 transcripts, purposively balanced across burnout severity strata) was independently re-coded by a second qualitative researcher following initial open and axial code generation. Coding units were operationalized as discrete semantic meaning-units (sentences or multi-sentence conversational utterances relating to academic, psychological, lifestyle, or institutional demands and resources). Across a total of 180 evaluated textual meaning-units, the two independent raters achieved 86.67% raw percentage agreement (156 of 180 units coded under identical thematic nodes). Inter-rater agreement evaluated via Cohen's κ yielded κ = 0.82 (95% CI [0.74, 0.90]; substantial agreement under Landis &amp; Koch, 1977 [120] criteria), confirming robust thematic reproducibility across independent analysts. The second rater remained fully blinded to first-coder annotations and quantitative ML predictions during the re-coding phase. All remaining 24 divergent code assignments were subsequently reviewed jointly and resolved through consensus discussion.</w:t>
      </w:r>
    </w:p>
    <w:p>
      <w:pPr>
        <w:pStyle w:val="Heading2"/>
        <w:spacing w:before="240" w:after="80"/>
      </w:pPr>
      <w:r>
        <w:rPr>
          <w:color w:val="1E3A8A"/>
        </w:rPr>
        <w:t>4. Exploratory Data Analysis</w:t>
      </w:r>
    </w:p>
    <w:p>
      <w:pPr>
        <w:spacing w:after="80" w:line="276" w:lineRule="auto"/>
      </w:pPr>
      <w:r>
        <w:t>Prior to formal statistical hypothesis testing and predictive modeling, an extensive Exploratory Data Analysis (EDA) was conducted on the primary dataset (N = 601) to ascertain data quality, characterize demographic and behavioral distributions, and uncover underlying structural patterns [100].</w:t>
      </w:r>
    </w:p>
    <w:p>
      <w:pPr>
        <w:pStyle w:val="Heading3"/>
        <w:spacing w:before="200" w:after="60"/>
      </w:pPr>
      <w:r>
        <w:rPr>
          <w:color w:val="047857"/>
        </w:rPr>
        <w:t>4.1 Demographic Profile</w:t>
      </w:r>
    </w:p>
    <w:p>
      <w:pPr>
        <w:spacing w:after="80" w:line="276" w:lineRule="auto"/>
      </w:pPr>
      <w:r>
        <w:t>The demographic characteristics of the sample reflect a cross-section of Bangladeshi university students. The cohort exhibited a slight male majority (n = 344; 57.24%) compared to females (n = 257; 42.76%).</w:t>
      </w:r>
    </w:p>
    <w:p>
      <w:pPr>
        <w:spacing w:after="80" w:line="276" w:lineRule="auto"/>
      </w:pPr>
      <w:r>
        <w:t>The age distribution spanned standard university brackets, with the largest concentration in the 19–20 years group (n = 150; 24.96%), followed closely by 21–22 years (n = 144; 23.96%), 23–24 years (n = 137; 22.80%), mature students aged 25 years or above (n = 114; 18.97%), and a younger cohort of 17–18 years (n = 56; 9.32%). Academically, the vast majority were enrolled in Bachelor's Degree programs (n = 416; 69.22%), with a significant representation of Master's Degree students (n = 150; 24.96%), PhD candidates (n = 27; 4.49%), and Diploma/Associate Degree students (n = 8; 1.33%). The sample spanned all academic years: 1st Year (n = 225; 37.44%), 2nd Year (n = 175; 29.12%), Final Year (n = 102; 16.97%), and 3rd Year (n = 99; 16.47%).</w:t>
      </w:r>
    </w:p>
    <w:p>
      <w:pPr>
        <w:pStyle w:val="Heading3"/>
        <w:spacing w:before="200" w:after="60"/>
      </w:pPr>
      <w:r>
        <w:rPr>
          <w:color w:val="047857"/>
        </w:rPr>
        <w:t>4.2 Behavioral and Psychometric Distributions</w:t>
      </w:r>
    </w:p>
    <w:p>
      <w:pPr>
        <w:spacing w:after="80" w:line="276" w:lineRule="auto"/>
      </w:pPr>
      <w:r>
        <w:t>Analysis of continuous behavioral metrics revealed a student population facing considerable systemic demands.</w:t>
      </w:r>
    </w:p>
    <w:p>
      <w:pPr>
        <w:spacing w:after="80" w:line="276" w:lineRule="auto"/>
      </w:pPr>
      <w:r>
        <w:t>The average self-reported daily study time was 2.91 hours (SD = 2.01). However, this was coupled with a mean sleep duration of 6.34 hours (SD = 1.74), which falls critically short of the 7-9 hours recommended for optimal cognitive functioning in young adults [101]. Strikingly, social media consumption averaged 3.49 hours daily (SD = 2.65), surpassing dedicated study time for a significant portion of the cohort.</w:t>
      </w:r>
    </w:p>
    <w:p>
      <w:pPr>
        <w:spacing w:after="80" w:line="276" w:lineRule="auto"/>
      </w:pPr>
      <w:r>
        <w:t>Psychometric indicators measured on a standardized 1-4 scale highlighted a population under distinct psychological strain. The mean self-reported stress score was elevated at 2.54 (SD = 1.10), while the mean depression score registered at 2.52 (SD = 1.12). Conversely, motivation scores averaged lower at 1.93 (SD = 0.80), indicating widespread academic disengagement.</w:t>
      </w:r>
    </w:p>
    <w:p>
      <w:pPr>
        <w:pStyle w:val="Heading3"/>
        <w:spacing w:before="200" w:after="60"/>
      </w:pPr>
      <w:r>
        <w:rPr>
          <w:color w:val="047857"/>
        </w:rPr>
        <w:t>4.3 Target Variable Analysis (Burnout Level)</w:t>
      </w:r>
    </w:p>
    <w:p>
      <w:pPr>
        <w:spacing w:after="80" w:line="276" w:lineRule="auto"/>
      </w:pPr>
      <w:r>
        <w:t>The dependent variable, `burnout_score` (measured on a severity scale from 1 to 3), exhibited a negatively skewed distribution (left-skewed) characteristic of epidemiological data collected in high-pressure educational environments, with frequencies monotonically increasing toward the higher end of the severity spectrum (Score 1: n = 117, Score 2: n = 229, Score 3: n = 255). The modal category was High Burnout (Score = 3), and the tail extended leftward toward the underrepresented Low Burnout category, confirming a negative skew.</w:t>
      </w:r>
    </w:p>
    <w:p>
      <w:pPr>
        <w:spacing w:after="80" w:line="276" w:lineRule="auto"/>
      </w:pPr>
      <w:r>
        <w:t>The majority of students reported experiencing "High" burnout (Severity Level 3: n = 255; 42.43%). "Medium" burnout (Severity Level 2) was reported by 38.10% (n = 229), while only 19.47% (n = 117) of the cohort fell into the "Low" burnout category (Severity Level 1).</w:t>
      </w:r>
    </w:p>
    <w:p>
      <w:pPr>
        <w:spacing w:after="80" w:line="276" w:lineRule="auto"/>
      </w:pPr>
      <w:r>
        <w:t>This pronounced negative skew, where over 80% of the surveyed cohort is experiencing moderate to severe academic exhaustion, aligns with recent literature documenting escalating mental health crises within South Asian university systems [10]. For subsequent machine learning tasks, this natural class imbalance poses a computational challenge [95], necessitating the binarization of the target variable to accurately isolate the "High Burnout" cohort without threshold dilution.</w:t>
      </w:r>
    </w:p>
    <w:p>
      <w:pPr>
        <w:spacing w:after="80" w:line="276" w:lineRule="auto"/>
      </w:pPr>
      <w:r>
        <w:t>Figure 2: Distribution of Student Burnout Levels</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Distribution of student burnout severity levels in the primary dataset (N = 601). High Burnout (Severity Level 3) constituted the largest category (42.43%, n = 255), with 80.53% of students reporting moderate-to-severe burnout — underscoring the scale of the mental health challenge within Bangladeshi higher education. The negatively skewed distribution (modal category = High Burnout; tail extending toward Low Burnout) motivated binary dichotomization (High vs. Low/Medium) for ML classification.</w:t>
      </w:r>
    </w:p>
    <w:p>
      <w:pPr>
        <w:spacing w:after="80" w:line="276" w:lineRule="auto"/>
      </w:pPr>
      <w:r>
        <w:t>Figure 3: Burnout Severity Distribution Across Gender Brackets</w:t>
      </w:r>
    </w:p>
    <w:p>
      <w:pPr>
        <w:spacing w:before="240" w:after="80"/>
        <w:jc w:val="center"/>
      </w:pPr>
      <w:r>
        <w:drawing>
          <wp:inline xmlns:a="http://schemas.openxmlformats.org/drawingml/2006/main" xmlns:pic="http://schemas.openxmlformats.org/drawingml/2006/picture">
            <wp:extent cx="5303520" cy="3390187"/>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390187"/>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Burnout severity distribution across male and female student cohorts (N = 344 male, 257 female). No statistically significant gender difference in burnout severity was observed (χ²(2) = 2.426, p = .297, Cramer's V = .063), suggesting that burnout risk in this cohort is driven primarily by behavioral and psychological demands (CGPA pressure, screen time, sleep deprivation) rather than gender-specific biological or social vulnerability.</w:t>
      </w:r>
    </w:p>
    <w:p>
      <w:pPr>
        <w:pStyle w:val="Heading3"/>
        <w:spacing w:before="200" w:after="60"/>
      </w:pPr>
      <w:r>
        <w:rPr>
          <w:color w:val="047857"/>
        </w:rPr>
        <w:t>4.4 Initial Correlational Observations</w:t>
      </w:r>
    </w:p>
    <w:p>
      <w:pPr>
        <w:spacing w:after="80" w:line="276" w:lineRule="auto"/>
      </w:pPr>
      <w:r>
        <w:t>Preliminary visual inspections of continuous variable pairs indicated several theoretically sound relationships expected within the Job Demands-Resources (JD-R) framework. For instance, higher self-reported stress appeared to co-occur with elevated depression scores and increased social media usage, suggesting a potential digital coping mechanism for academic pressure. These specific bivariate relationships are formally quantified and rigorously tested in the subsequent Statistical Analysis chapter.</w:t>
      </w:r>
    </w:p>
    <w:p>
      <w:pPr>
        <w:pStyle w:val="Heading2"/>
        <w:spacing w:before="240" w:after="80"/>
      </w:pPr>
      <w:r>
        <w:rPr>
          <w:color w:val="1E3A8A"/>
        </w:rPr>
        <w:t>5. Inferential Statistical Analysis</w:t>
      </w:r>
    </w:p>
    <w:p>
      <w:pPr>
        <w:spacing w:after="80" w:line="276" w:lineRule="auto"/>
      </w:pPr>
      <w:r>
        <w:t>Following the exploratory data profiling, formal statistical hypothesis testing was conducted on the primary dataset (N = 601) to evaluate the theoretical assumptions of the Job Demands-Resources (JD-R) model. Although self-report Likert-scale items are ordinal in nature, one-way ANOVA is robust to violations of normality for sample sizes exceeding N = 200 per group via the central limit theorem [102], making it appropriate for the N = 601 dataset examined here. The analyses focused on identifying linear associations, quantifying group differences across burnout severities, and assessing multicollinearity prior to algorithmic deployment. Statistical significance was evaluated at the standard α = 0.05 threshold.</w:t>
      </w:r>
    </w:p>
    <w:p>
      <w:pPr>
        <w:pStyle w:val="Heading3"/>
        <w:spacing w:before="200" w:after="60"/>
      </w:pPr>
      <w:r>
        <w:rPr>
          <w:color w:val="047857"/>
        </w:rPr>
        <w:t>5.1 Categorical Associations (Chi-Square Analysis)</w:t>
      </w:r>
    </w:p>
    <w:p>
      <w:pPr>
        <w:spacing w:after="80" w:line="276" w:lineRule="auto"/>
      </w:pPr>
      <w:r>
        <w:t>Pearson's Chi-Square tests of independence were conducted to examine the relationships between categorical sociodemographic variables and the three-tier `burnout_score`.</w:t>
      </w:r>
    </w:p>
    <w:p>
      <w:pPr>
        <w:spacing w:after="80" w:line="276" w:lineRule="auto"/>
      </w:pPr>
      <w:r>
        <w:t>In bivariate analysis, an initial association was observed between a student's academic year and their reported burnout level, raw χ²(6, N = 601) = 13.329, raw p = .038, Cramer's V = 0.105. This finding initially suggested that specific academic transitions (e.g., entering university or approaching final graduation) might trigger exhaustion [7].</w:t>
      </w:r>
    </w:p>
    <w:p>
      <w:pPr>
        <w:spacing w:after="80" w:line="276" w:lineRule="auto"/>
      </w:pPr>
      <w:r>
        <w:t>Conversely, other demographic variables failed to reach statistical significance in bivariate testing. Gender was not significantly associated with burnout severity, χ²(2) = 2.426, raw p = .297, Cramer's V = 0.063 (95% CI [0.000, 0.134]), contradicting some prior research that posits higher burnout vulnerability in female cohorts. Similarly, age group, χ²(8) = 7.685, raw p = .465, and degree level, χ²(6) = 4.198, raw p = .650, showed no significant categorical main effects. The lack of demographic significance suggests that burnout in this cohort is driven more by behavioral and psychological demands rather than fixed demographic strata.</w:t>
      </w:r>
    </w:p>
    <w:p>
      <w:pPr>
        <w:spacing w:after="80" w:line="276" w:lineRule="auto"/>
      </w:pPr>
      <w:r>
        <w:rPr>
          <w:i/>
        </w:rPr>
        <w:t>Methodological &amp; Statistical Power Note:</w:t>
      </w:r>
      <w:r>
        <w:t xml:space="preserve"> Observed or post-hoc power analysis is a well-documented statistical fallacy because observed power is a direct mathematical transformation of the observed p-value and provides no independent diagnostic information (Hoenig &amp; Heisey, 2001; Gelman &amp; Carlin, 2014). Therefore, an a priori sensitivity power analysis (G*Power 3.1; Faul et al., 2007 [121]) was conducted to evaluate study sensitivity. For N = 601, α = .05, and power = .80, the study was adequately powered to detect small-to-moderate effect sizes of w ≥ 0.114 for Chi-square tests and d ≥ 0.23 for continuous group comparisons. The absence of a significant gender effect (Cramer's V = 0.063) reflects genuine behavioral homogeneity in burnout-related demands across male and female undergraduates in the Bangladeshi university context.</w:t>
      </w:r>
    </w:p>
    <w:p>
      <w:pPr>
        <w:pStyle w:val="Heading3"/>
        <w:spacing w:before="200" w:after="60"/>
      </w:pPr>
      <w:r>
        <w:rPr>
          <w:color w:val="047857"/>
        </w:rPr>
        <w:t>5.2 Group Differences in Continuous Variables (ANOVA)</w:t>
      </w:r>
    </w:p>
    <w:p>
      <w:pPr>
        <w:spacing w:after="80" w:line="276" w:lineRule="auto"/>
      </w:pPr>
      <w:r>
        <w:t>One-way Analyses of Variance (ANOVA) were executed to determine if continuous behavioral and psychometric features differed significantly across the three burnout levels (Low, Medium, High).</w:t>
      </w:r>
    </w:p>
    <w:p>
      <w:pPr>
        <w:spacing w:after="80" w:line="276" w:lineRule="auto"/>
      </w:pPr>
      <w:r>
        <w:t>The analyses revealed highly significant differences in key academic behaviors. Students' self-reported daily study hours differed significantly by burnout level, F(2, 598) = 8.468, raw p &lt; .001, η² = .028 (small effect by Cohen's [122] benchmark), explaining 2.8% of variance across burnout groups. Post-hoc Tukey HSD comparisons confirmed that High Burnout students studied significantly fewer hours (M = 2.54, SD = 1.92) than Low Burnout students (M = 3.36, SD = 2.28; mean difference = 0.83, 95% CI [0.31, 1.35], p &lt; .001) and Medium Burnout students (M = 3.09, SD = 1.89; mean difference = 0.55, 95% CI [0.13, 0.97], p = .007), while Medium vs. Low differences were not statistically significant after correction (p = .440). Rather than excessive study volume directly driving burnout, this inverse pattern reflects cognitive fatigue, academic disengagement, and reduced study capacity under emotional exhaustion [6, 31].</w:t>
      </w:r>
    </w:p>
    <w:p>
      <w:pPr>
        <w:spacing w:after="80" w:line="276" w:lineRule="auto"/>
      </w:pPr>
      <w:r>
        <w:t>Furthermore, the CGPA midpoint showed the most profound group difference, F(2, 598) = 22.604, raw p &lt; .001, η² = .070 (approaching a medium effect), indicating a strong link between academic performance metrics and burnout susceptibility. Tukey HSD post-hoc tests confirmed High Burnout students exhibited significantly lower CGPA (M = 2.93, SD = 0.54) than Low Burnout students (M = 3.21, SD = 0.60; mean difference = 0.28, 95% CI [0.14, 0.43], p &lt; .001) and Medium Burnout students (M = 3.24, SD = 0.52; mean difference = 0.31, 95% CI [0.19, 0.43], p &lt; .001), while Medium vs. Low differences were not statistically significant (p = .889).</w:t>
      </w:r>
    </w:p>
    <w:p>
      <w:pPr>
        <w:spacing w:after="80" w:line="276" w:lineRule="auto"/>
      </w:pPr>
      <w:r>
        <w:t>Psychometric indicators also yielded significant omnibus F-tests. Self-reported stress scores, F(2, 598) = 5.164, raw p = .006, η² = .017, and depression scores, F(2, 598) = 5.109, raw p = .006, η² = .017, were significantly elevated in higher burnout cohorts. Notably, daily social media consumption exhibited a highly significant difference across groups, F(2, 598) = 14.089, raw p &lt; .001, η² = .045 (small-to-medium effect), empirically linking digital fatigue to academic exhaustion.</w:t>
      </w:r>
    </w:p>
    <w:p>
      <w:pPr>
        <w:spacing w:after="80" w:line="276" w:lineRule="auto"/>
      </w:pPr>
      <w:r>
        <w:t>Variables representing theoretical resources, such as motivation, approached significance but fell short of the strict α = 0.05 threshold, F(2, 598) = 2.489, raw p = .084, suggesting that motivational depletion operates primarily through complex non-linear interactions rather than simple bivariate main effects.</w:t>
      </w:r>
    </w:p>
    <w:p>
      <w:pPr>
        <w:pStyle w:val="Heading3"/>
        <w:spacing w:before="200" w:after="60"/>
      </w:pPr>
      <w:r>
        <w:rPr>
          <w:color w:val="047857"/>
        </w:rPr>
        <w:t>5.2.1 Multiple Comparisons Correction (FDR &amp; Bonferroni Adjustments)</w:t>
      </w:r>
    </w:p>
    <w:p>
      <w:pPr>
        <w:spacing w:after="80" w:line="276" w:lineRule="auto"/>
      </w:pPr>
      <w:r>
        <w:t>To control the family-wise error rate across multiple hypothesis tests (4 Chi-square tests, 5 ANOVAs, and pairwise post-hoc comparisons), both Benjamini-Hochberg False Discovery Rate (FDR q &lt; .05) and strict Bonferroni corrections were applied across all inferential tests.</w:t>
      </w:r>
    </w:p>
    <w:p>
      <w:pPr>
        <w:spacing w:after="80" w:line="276" w:lineRule="auto"/>
      </w:pPr>
      <w:r>
        <w:t>Major behavioral and performance features retained high statistical significance post-adjustment: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w:t>
      </w:r>
    </w:p>
    <w:p>
      <w:pPr>
        <w:spacing w:after="80" w:line="276" w:lineRule="auto"/>
      </w:pPr>
      <w:r>
        <w:t>Crucially, the bivariate association between academic year and burnout severity (raw χ²(6) = 13.329, raw p = .038) failed to maintain statistical significance after multiple comparison adjustments (Benjamini-Hochberg FDR q = .076; Bonferroni p_adj = .190). Consequently, academic year differences cannot be declared as a definitive population-level main effect and are transparently reframed as an exploratory trend requiring larger longitudinal sample confirmation.</w:t>
      </w:r>
    </w:p>
    <w:p>
      <w:pPr>
        <w:pStyle w:val="Heading3"/>
        <w:spacing w:before="200" w:after="60"/>
      </w:pPr>
      <w:r>
        <w:rPr>
          <w:color w:val="047857"/>
        </w:rPr>
        <w:t>5.3 Pearson Correlation Matrix Analysis</w:t>
      </w:r>
    </w:p>
    <w:p>
      <w:pPr>
        <w:spacing w:after="80" w:line="276" w:lineRule="auto"/>
      </w:pPr>
      <w:r>
        <w:t>A Pearson correlation matrix was computed to quantify the magnitude and direction of linear associations among the continuous variables, establishing the psychometric validity of the collected survey data.</w:t>
      </w:r>
    </w:p>
    <w:p>
      <w:pPr>
        <w:spacing w:after="80" w:line="276" w:lineRule="auto"/>
      </w:pPr>
      <w:r>
        <w:t>The analysis confirmed expected psychometric patterns. Stress and depression exhibited a moderate positive correlation (r = .277, p &lt; .001), validating the expected clinical relationship between anxious arousal and depressive affect. Furthermore, motivation was negatively correlated with both stress (r = -.205) and depression (r = -.235), confirming that higher psychological demands actively degrade theoretical resources [34].</w:t>
      </w:r>
    </w:p>
    <w:p>
      <w:pPr>
        <w:spacing w:after="80" w:line="276" w:lineRule="auto"/>
      </w:pPr>
      <w:r>
        <w:t>Interestingly, daily study hours were positively correlated with CGPA (r = .248), reflecting standard academic reward structures. However, study hours were simultaneously negatively correlated with depression (r = -.124) and social media consumption (r = -.109), suggesting complex, competing behavioral clusters that cannot be perfectly modeled by linear systems.</w:t>
      </w:r>
    </w:p>
    <w:p>
      <w:pPr>
        <w:pStyle w:val="Heading3"/>
        <w:spacing w:before="200" w:after="60"/>
      </w:pPr>
      <w:r>
        <w:rPr>
          <w:color w:val="047857"/>
        </w:rPr>
        <w:t>5.4 Multicollinearity Assessment (VIF)</w:t>
      </w:r>
    </w:p>
    <w:p>
      <w:pPr>
        <w:spacing w:after="80" w:line="276" w:lineRule="auto"/>
      </w:pPr>
      <w:r>
        <w:t>Multicollinearity among predictors was systematically evaluated using Variance Inflation Factor (VIF) analysis [103].</w:t>
      </w:r>
    </w:p>
    <w:p>
      <w:pPr>
        <w:spacing w:after="80" w:line="276" w:lineRule="auto"/>
      </w:pPr>
      <w:r>
        <w:t xml:space="preserve">1. </w:t>
      </w:r>
      <w:r>
        <w:rPr>
          <w:i/>
        </w:rPr>
        <w:t>Raw Survey Predictors:</w:t>
      </w:r>
      <w:r>
        <w:t xml:space="preserve"> Evaluation of the 13 raw numerical survey features yielded exceptionally low collinearity, with Variance Inflation Factors ranging from </w:t>
      </w:r>
      <w:r>
        <w:rPr>
          <w:b/>
        </w:rPr>
        <w:t>1.046 to 1.205</w:t>
      </w:r>
      <w:r>
        <w:t xml:space="preserve"> (maximum VIF = 1.205 for `cgpa_midpoint`), well below the standard concern threshold of 5.0. This confirms that the primary survey items represent orthogonal behavioral dimensions.</w:t>
      </w:r>
    </w:p>
    <w:p>
      <w:pPr>
        <w:spacing w:after="80" w:line="276" w:lineRule="auto"/>
      </w:pPr>
      <w:r>
        <w:t xml:space="preserve">2. </w:t>
      </w:r>
      <w:r>
        <w:rPr>
          <w:i/>
        </w:rPr>
        <w:t>Engineered Composite Features:</w:t>
      </w:r>
      <w:r>
        <w:t xml:space="preserve"> When domain-engineered composite ratios (e.g., `psychological_strain_index = stress_score + depression_score`) are evaluated alongside their raw parent features, high collinearity (VIF &gt; 10 / infinite VIF) is intentionally introduced due to linear combinations.</w:t>
      </w:r>
    </w:p>
    <w:p>
      <w:pPr>
        <w:spacing w:after="80" w:line="276" w:lineRule="auto"/>
      </w:pPr>
      <w:r>
        <w:rPr>
          <w:i/>
        </w:rPr>
        <w:t>Methodological Justification &amp; Model Robustness:</w:t>
      </w:r>
      <w:r>
        <w:t xml:space="preserve"> Non-parametric tree-based ensemble models (Random Forest, Extra Trees, Gradient Boosting) and non-linear SHAP attributions split features sequentially rather than solving linear matrix inversions (unlike linear OLS regressions), making them mathematically immune to multicollinearity destabilization [84, 85, 105]. In SHAP interpretability analysis (Section 7), feature attributions are evaluated as domain feature clusters (e.g., Academic Performance Cluster, Psychological Strain Cluster).</w:t>
      </w:r>
    </w:p>
    <w:p>
      <w:pPr>
        <w:pStyle w:val="Heading2"/>
        <w:spacing w:before="240" w:after="80"/>
      </w:pPr>
      <w:r>
        <w:rPr>
          <w:color w:val="1E3A8A"/>
        </w:rPr>
        <w:t>6. Machine Learning Results and Performance Benchmark</w:t>
      </w:r>
    </w:p>
    <w:p>
      <w:pPr>
        <w:spacing w:after="80" w:line="276" w:lineRule="auto"/>
      </w:pPr>
      <w:r>
        <w:t>The models were rigorously evaluated using 10-Fold Stratified Cross-Validation on the primary survey dataset (N = 601). This method partitions the data into 10 equal folds, training on 9 folds and testing on the remaining 1 fold, iterating 10 times to ensure the algorithmic evaluation is robust, leak-free, and provides a reliable estimate of out-of-sample generalization [16].</w:t>
      </w:r>
    </w:p>
    <w:p>
      <w:pPr>
        <w:pStyle w:val="Heading3"/>
        <w:spacing w:before="200" w:after="60"/>
      </w:pPr>
      <w:r>
        <w:rPr>
          <w:color w:val="047857"/>
        </w:rPr>
        <w:t>6.1 Overall Predictive Performance</w:t>
      </w:r>
    </w:p>
    <w:p>
      <w:pPr>
        <w:spacing w:after="80" w:line="276" w:lineRule="auto"/>
      </w:pPr>
      <w:r>
        <w:t>Following rigorous preprocessing, feature scaling, and clean behavioral ratio engineering, the comparative performance of the machine learning algorithms across 10-Fold Stratified Cross-Validation is presented in Table 3, evaluated under standard ROC and classification metrics [89, 104].</w:t>
      </w:r>
    </w:p>
    <w:p>
      <w:pPr>
        <w:pStyle w:val="Heading3"/>
        <w:spacing w:before="200" w:after="60"/>
      </w:pPr>
      <w:r>
        <w:rPr>
          <w:color w:val="047857"/>
        </w:rPr>
        <w:t>Table 3. Genuine Performance Metrics of Machine Learning Models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w:t>
            </w:r>
          </w:p>
        </w:tc>
        <w:tc>
          <w:tcPr>
            <w:tcW w:type="dxa" w:w="1337"/>
            <w:tcBorders>
              <w:top w:val="single" w:color="94A3B8" w:sz="4"/>
              <w:left w:val="none"/>
              <w:bottom w:val="single" w:color="94A3B8" w:sz="4"/>
              <w:right w:val="none"/>
            </w:tcBorders>
          </w:tcPr>
          <w:p>
            <w:r/>
            <w:r>
              <w:t>10.99</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w:t>
            </w:r>
          </w:p>
        </w:tc>
        <w:tc>
          <w:tcPr>
            <w:tcW w:type="dxa" w:w="1337"/>
            <w:tcBorders>
              <w:top w:val="single" w:color="94A3B8" w:sz="4"/>
              <w:left w:val="none"/>
              <w:bottom w:val="single" w:color="94A3B8" w:sz="4"/>
              <w:right w:val="none"/>
            </w:tcBorders>
          </w:tcPr>
          <w:p>
            <w:r/>
            <w:r>
              <w:t>10.50</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w:t>
            </w:r>
          </w:p>
        </w:tc>
        <w:tc>
          <w:tcPr>
            <w:tcW w:type="dxa" w:w="1337"/>
            <w:tcBorders>
              <w:top w:val="single" w:color="94A3B8" w:sz="4"/>
              <w:left w:val="none"/>
              <w:bottom w:val="single" w:color="94A3B8" w:sz="4"/>
              <w:right w:val="none"/>
            </w:tcBorders>
          </w:tcPr>
          <w:p>
            <w:r/>
            <w:r>
              <w:t>11.46</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w:t>
            </w:r>
          </w:p>
        </w:tc>
        <w:tc>
          <w:tcPr>
            <w:tcW w:type="dxa" w:w="1337"/>
            <w:tcBorders>
              <w:top w:val="single" w:color="94A3B8" w:sz="4"/>
              <w:left w:val="none"/>
              <w:bottom w:val="single" w:color="94A3B8" w:sz="4"/>
              <w:right w:val="none"/>
            </w:tcBorders>
          </w:tcPr>
          <w:p>
            <w:r/>
            <w:r>
              <w:t>1.17</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w:t>
            </w:r>
          </w:p>
        </w:tc>
        <w:tc>
          <w:tcPr>
            <w:tcW w:type="dxa" w:w="1337"/>
            <w:tcBorders>
              <w:top w:val="single" w:color="94A3B8" w:sz="4"/>
              <w:left w:val="none"/>
              <w:bottom w:val="single" w:color="94A3B8" w:sz="4"/>
              <w:right w:val="none"/>
            </w:tcBorders>
          </w:tcPr>
          <w:p>
            <w:r/>
            <w:r>
              <w:t>8.07</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w:t>
            </w:r>
          </w:p>
        </w:tc>
        <w:tc>
          <w:tcPr>
            <w:tcW w:type="dxa" w:w="1337"/>
            <w:tcBorders>
              <w:top w:val="single" w:color="94A3B8" w:sz="4"/>
              <w:left w:val="none"/>
              <w:bottom w:val="single" w:color="94A3B8" w:sz="4"/>
              <w:right w:val="none"/>
            </w:tcBorders>
          </w:tcPr>
          <w:p>
            <w:r/>
            <w:r>
              <w:t>3.38</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w:t>
            </w:r>
          </w:p>
        </w:tc>
        <w:tc>
          <w:tcPr>
            <w:tcW w:type="dxa" w:w="1337"/>
            <w:tcBorders>
              <w:top w:val="single" w:color="94A3B8" w:sz="4"/>
              <w:left w:val="none"/>
              <w:bottom w:val="single" w:color="94A3B8" w:sz="4"/>
              <w:right w:val="none"/>
            </w:tcBorders>
          </w:tcPr>
          <w:p>
            <w:r/>
            <w:r>
              <w:t>6.30</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w:t>
            </w:r>
          </w:p>
        </w:tc>
        <w:tc>
          <w:tcPr>
            <w:tcW w:type="dxa" w:w="1337"/>
            <w:tcBorders>
              <w:top w:val="single" w:color="94A3B8" w:sz="4"/>
              <w:left w:val="none"/>
              <w:bottom w:val="single" w:color="94A3B8" w:sz="4"/>
              <w:right w:val="none"/>
            </w:tcBorders>
          </w:tcPr>
          <w:p>
            <w:r/>
            <w:r>
              <w:t>4.84</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w:t>
            </w:r>
          </w:p>
        </w:tc>
        <w:tc>
          <w:tcPr>
            <w:tcW w:type="dxa" w:w="1337"/>
            <w:tcBorders>
              <w:top w:val="single" w:color="94A3B8" w:sz="4"/>
              <w:left w:val="none"/>
              <w:bottom w:val="single" w:color="94A3B8" w:sz="4"/>
              <w:right w:val="none"/>
            </w:tcBorders>
          </w:tcPr>
          <w:p>
            <w:r/>
            <w:r>
              <w:t>10.11</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w:t>
            </w:r>
          </w:p>
        </w:tc>
        <w:tc>
          <w:tcPr>
            <w:tcW w:type="dxa" w:w="1337"/>
            <w:tcBorders>
              <w:top w:val="single" w:color="94A3B8" w:sz="4"/>
              <w:left w:val="none"/>
              <w:bottom w:val="single" w:color="94A3B8" w:sz="4"/>
              <w:right w:val="none"/>
            </w:tcBorders>
          </w:tcPr>
          <w:p>
            <w:r/>
            <w:r>
              <w:t>1.06</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w:t>
            </w:r>
          </w:p>
        </w:tc>
        <w:tc>
          <w:tcPr>
            <w:tcW w:type="dxa" w:w="1337"/>
            <w:tcBorders>
              <w:top w:val="single" w:color="94A3B8" w:sz="4"/>
              <w:left w:val="none"/>
              <w:bottom w:val="single" w:color="94A3B8" w:sz="4"/>
              <w:right w:val="none"/>
            </w:tcBorders>
          </w:tcPr>
          <w:p>
            <w:r/>
            <w:r>
              <w:t>28.29</w:t>
            </w:r>
          </w:p>
        </w:tc>
      </w:tr>
      <w:tr>
        <w:tc>
          <w:tcPr>
            <w:tcW w:type="dxa" w:w="1337"/>
            <w:tcBorders>
              <w:top w:val="single" w:color="94A3B8" w:sz="4"/>
              <w:left w:val="none"/>
              <w:bottom w:val="single" w:color="94A3B8" w:sz="4"/>
              <w:right w:val="none"/>
            </w:tcBorders>
          </w:tcPr>
          <w:p>
            <w:r/>
            <w:r>
              <w:rPr>
                <w:b/>
              </w:rPr>
              <w:t>Majority Baseline (All-Zeros)</w:t>
            </w:r>
          </w:p>
        </w:tc>
        <w:tc>
          <w:tcPr>
            <w:tcW w:type="dxa" w:w="1337"/>
            <w:tcBorders>
              <w:top w:val="single" w:color="94A3B8" w:sz="4"/>
              <w:left w:val="none"/>
              <w:bottom w:val="single" w:color="94A3B8" w:sz="4"/>
              <w:right w:val="none"/>
            </w:tcBorders>
          </w:tcPr>
          <w:p>
            <w:r/>
            <w:r>
              <w:rPr>
                <w:b/>
              </w:rPr>
              <w:t>0.5757</w:t>
            </w:r>
          </w:p>
        </w:tc>
        <w:tc>
          <w:tcPr>
            <w:tcW w:type="dxa" w:w="1337"/>
            <w:tcBorders>
              <w:top w:val="single" w:color="94A3B8" w:sz="4"/>
              <w:left w:val="none"/>
              <w:bottom w:val="single" w:color="94A3B8" w:sz="4"/>
              <w:right w:val="none"/>
            </w:tcBorders>
          </w:tcPr>
          <w:p>
            <w:r/>
            <w:r>
              <w:rPr>
                <w:b/>
              </w:rPr>
              <w:t>—</w:t>
            </w:r>
          </w:p>
        </w:tc>
        <w:tc>
          <w:tcPr>
            <w:tcW w:type="dxa" w:w="1337"/>
            <w:tcBorders>
              <w:top w:val="single" w:color="94A3B8" w:sz="4"/>
              <w:left w:val="none"/>
              <w:bottom w:val="single" w:color="94A3B8" w:sz="4"/>
              <w:right w:val="none"/>
            </w:tcBorders>
          </w:tcPr>
          <w:p>
            <w:r/>
            <w:r>
              <w:rPr>
                <w:b/>
              </w:rPr>
              <w:t>0.0000</w:t>
            </w:r>
          </w:p>
        </w:tc>
        <w:tc>
          <w:tcPr>
            <w:tcW w:type="dxa" w:w="1337"/>
            <w:tcBorders>
              <w:top w:val="single" w:color="94A3B8" w:sz="4"/>
              <w:left w:val="none"/>
              <w:bottom w:val="single" w:color="94A3B8" w:sz="4"/>
              <w:right w:val="none"/>
            </w:tcBorders>
          </w:tcPr>
          <w:p>
            <w:r/>
            <w:r>
              <w:rPr>
                <w:b/>
              </w:rPr>
              <w:t>0.0000</w:t>
            </w:r>
          </w:p>
        </w:tc>
        <w:tc>
          <w:tcPr>
            <w:tcW w:type="dxa" w:w="1337"/>
            <w:tcBorders>
              <w:top w:val="single" w:color="94A3B8" w:sz="4"/>
              <w:left w:val="none"/>
              <w:bottom w:val="single" w:color="94A3B8" w:sz="4"/>
              <w:right w:val="none"/>
            </w:tcBorders>
          </w:tcPr>
          <w:p>
            <w:r/>
            <w:r>
              <w:rPr>
                <w:b/>
              </w:rPr>
              <w:t>0.5000</w:t>
            </w:r>
          </w:p>
        </w:tc>
        <w:tc>
          <w:tcPr>
            <w:tcW w:type="dxa" w:w="1337"/>
            <w:tcBorders>
              <w:top w:val="single" w:color="94A3B8" w:sz="4"/>
              <w:left w:val="none"/>
              <w:bottom w:val="single" w:color="94A3B8" w:sz="4"/>
              <w:right w:val="none"/>
            </w:tcBorders>
          </w:tcPr>
          <w:p>
            <w:r/>
            <w:r>
              <w:rPr>
                <w:b/>
              </w:rPr>
              <w:t>—</w:t>
            </w:r>
          </w:p>
        </w:tc>
      </w:tr>
    </w:tbl>
    <w:p>
      <w:pPr>
        <w:spacing w:before="0" w:after="120"/>
      </w:pPr>
    </w:p>
    <w:p>
      <w:pPr>
        <w:spacing w:after="80" w:line="276" w:lineRule="auto"/>
      </w:pPr>
      <w:r>
        <w:rPr>
          <w:i/>
        </w:rPr>
        <w:t>Note: Majority Baseline classifies all instances as Low/Medium Burnout (the majority class). Precision is undefined (no positive predictions). ROC-AUC = 0.50 indicates chance-level discrimination. All ML models substantially exceed this baseline.</w:t>
      </w:r>
    </w:p>
    <w:p>
      <w:pPr>
        <w:spacing w:after="80" w:line="276" w:lineRule="auto"/>
      </w:pPr>
      <w:r>
        <w:t>Figure 4: Machine Learning Model Predictive Accuracy Comparison</w:t>
      </w:r>
    </w:p>
    <w:p>
      <w:pPr>
        <w:spacing w:before="240" w:after="80"/>
        <w:jc w:val="center"/>
      </w:pPr>
      <w:r>
        <w:drawing>
          <wp:inline xmlns:a="http://schemas.openxmlformats.org/drawingml/2006/main" xmlns:pic="http://schemas.openxmlformats.org/drawingml/2006/picture">
            <wp:extent cx="5303520" cy="1439070"/>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1439070"/>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4.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rPr>
                <w:b/>
              </w:rP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rPr>
                <w:b/>
              </w:rP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Decomposition (N = 601):</w:t>
      </w:r>
    </w:p>
    <w:p>
      <w:pPr>
        <w:spacing w:after="80" w:line="276" w:lineRule="auto"/>
      </w:pPr>
      <w:r>
        <w:t>True Negatives (TN = 285): 285 out of 346 Low/Medium Burnout cases were correctly classified, yielding a Specificity of 82.37%.</w:t>
      </w:r>
    </w:p>
    <w:p>
      <w:pPr>
        <w:spacing w:after="80" w:line="276" w:lineRule="auto"/>
      </w:pPr>
      <w:r>
        <w:t>True Positives (TP = 111): 111 out of 255 High Burnout cases were correctly identified, yielding a Sensitivity (Recall) of 43.53%.</w:t>
      </w:r>
    </w:p>
    <w:p>
      <w:pPr>
        <w:spacing w:after="80" w:line="276" w:lineRule="auto"/>
      </w:pPr>
      <w:r>
        <w:t>False Positives (FP = 61): 61 students were falsely flagged as high-risk when their burnout level was low/medium (Type I Error Rate = 17.63%).</w:t>
      </w:r>
    </w:p>
    <w:p>
      <w:pPr>
        <w:spacing w:after="80" w:line="276" w:lineRule="auto"/>
      </w:pPr>
      <w:r>
        <w:t>False Negatives (FN = 144): 144 high-burnout students were classified as low/medium risk (Type II Error Rate = 56.47%).</w:t>
      </w:r>
    </w:p>
    <w:p>
      <w:pPr>
        <w:spacing w:after="80" w:line="276" w:lineRule="auto"/>
      </w:pPr>
      <w:r>
        <w:t>The confusion matrix reveals an important precision-recall trade-off. The model achieves high specificity (82.37%) — correctly identifying 82.37% of Low/Medium burnout students — but moderate recall (43.53%) for High Burnout cases under the default 0.50 cutoff. In an institutional early-warning context, this configuration prioritizes specificity to avoid overwhelming counseling services with false alarms, correctly identifying 111 High Burnout students. However, 144 High Burnout students (56.47%) are missed under default thresholding, necessitating decision threshold tuning ($th = 0.38$, Sensitivity = 71.76%) for high-coverage screening protocols.</w:t>
      </w:r>
    </w:p>
    <w:p>
      <w:pPr>
        <w:pStyle w:val="Heading3"/>
        <w:spacing w:before="200" w:after="60"/>
      </w:pPr>
      <w:r>
        <w:rPr>
          <w:color w:val="047857"/>
        </w:rPr>
        <w:t>6.3 Pairwise Statistical Significance (McNemar Tests)</w:t>
      </w:r>
    </w:p>
    <w:p>
      <w:pPr>
        <w:spacing w:after="80" w:line="276" w:lineRule="auto"/>
      </w:pPr>
      <w:r>
        <w:t>To evaluate pairwise statistical significance across classifiers, McNemar's tests were conducted on out-of-fold predictions. Crucially, the champion Random Forest model significantly outperformed the 57.57% zero-rule majority class baseline ($\chi^2 = 13.96, p = 0.00019, p &lt; .001$), confirming a non-random predictive signal. Furthermore, Random Forest significantly outperformed single-tree Decision Trees ($\chi^2 = 4.73, p = 0.0297$), and the Soft Voting Ensemble similarly demonstrated significant superiority over Decision Trees ($\chi^2 = 4.66, p = 0.0308$). Pairwise comparisons between Random Forest and Logistic Regression ($\chi^2 = 0.51, p = 0.4743$), Soft Voting and Logistic Regression ($\chi^2 = 0.55, p = 0.4595$), and Random Forest and CatBoost ($\chi^2 = 0.23, p = 0.6350$) were not statistically significant, indicating matching top-tier predictive performance among leading ensemble and regularized linear baselines.</w:t>
      </w:r>
    </w:p>
    <w:p>
      <w:pPr>
        <w:spacing w:after="80" w:line="276" w:lineRule="auto"/>
      </w:pPr>
      <w:r>
        <w:t>Figure 5: Out-of-Fold Confusion Matrix for Champion Random Forest Model</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address the precision-recall trade-off inherent in institutional screening tools, the model was evaluated across decision probability thresholds ($th \in [0.30, 0.50]$) via post-hoc decision threshold optimization. Table 4b details the model's operational performance under different institutional deployment priorities:</w:t>
      </w:r>
    </w:p>
    <w:p>
      <w:pPr>
        <w:pStyle w:val="Heading3"/>
        <w:spacing w:before="200" w:after="60"/>
      </w:pPr>
      <w:r>
        <w:rPr>
          <w:color w:val="047857"/>
        </w:rPr>
        <w:t>Table 4b.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(High-Recall)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0.6203</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 xml:space="preserve">As demonstrated in Table 4b, shifting the decision threshold from 0.50 to 0.42 increases Sensitivity (Recall) from 43.53% to </w:t>
      </w:r>
      <w:r>
        <w:rPr>
          <w:b/>
        </w:rPr>
        <w:t>62.75%</w:t>
      </w:r>
      <w:r>
        <w:t xml:space="preserve"> (160/255 TP), while a threshold of 0.38 achieves </w:t>
      </w:r>
      <w:r>
        <w:rPr>
          <w:b/>
        </w:rPr>
        <w:t>71.76% Recall</w:t>
      </w:r>
      <w:r>
        <w:t xml:space="preserve"> (capturing 183 out of 255 high-burnout students, F1 = 0.6203). University administrators can adjust this operating threshold based on available counseling capacity.</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Because survey responses were anonymized without institutional markers, partitioning by academic degree level provides a natural structural proxy for population life-stage differences — separating undergraduate students (Bachelor's degree, $n = 416$) from postgraduate and specialized cohorts (Master's, PhD, and Diploma students, $n = 185$).</w:t>
      </w:r>
    </w:p>
    <w:p>
      <w:pPr>
        <w:spacing w:after="80" w:line="276" w:lineRule="auto"/>
      </w:pPr>
      <w:r>
        <w:t>The Random Forest model was trained exclusively on the Bachelor's degree cohort ($n = 416$) using internal 10-fold stratified cross-validation, and subsequently evaluated on the completely held-out Master's/PhD/Diploma subgroup ($n = 185$) which was never exposed during model training or hyperparameter tuning. To test directional sensitivity, a reverse evaluation was also conducted (training on Master's+ $n = 185$, testing on Bachelor's $n = 416$). Table 4c presents the empirical results.</w:t>
      </w:r>
    </w:p>
    <w:p>
      <w:pPr>
        <w:pStyle w:val="Heading3"/>
        <w:spacing w:before="200" w:after="60"/>
      </w:pPr>
      <w:r>
        <w:rPr>
          <w:color w:val="047857"/>
        </w:rPr>
        <w:t>Table 4c.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 xml:space="preserve">As detailed in Table 4c, when trained on the primary Bachelor's undergraduate cohort ($n = 416$), the model demonstrated encouraging generalization on the held-out Master's/PhD/Diploma cohort ($n = 185$), achieving </w:t>
      </w:r>
      <w:r>
        <w:rPr>
          <w:b/>
        </w:rPr>
        <w:t>67.03% Accuracy</w:t>
      </w:r>
      <w:r>
        <w:t xml:space="preserve"> and an </w:t>
      </w:r>
      <w:r>
        <w:rPr>
          <w:b/>
        </w:rPr>
        <w:t>ROC-AUC of 0.6597</w:t>
      </w:r>
      <w:r>
        <w:t xml:space="preserve"> (F1 = 0.5120, Precision = 62.75%). The held-out accuracy (67.03%) compares favorably to internal CV performance (63.70%), though the moderate drop in ROC-AUC from 0.7136 to 0.6597 illustrates the expected domain shift across academic stages. Conversely, in the reverse sensitivity check (training on $n = 185$ postgraduates and testing on $n = 416$ undergraduates), the model achieved 64.18% accuracy and 0.7030 ROC-AUC on the held-out cohort despite exhibiting low internal CV performance on the training subgroup itself (55.68% accuracy, ROC-AUC = 0.5497). This internal CV discrepancy reflects the inherent instability of training complex non-linear ensembles on a constrained sample ($n = 185$, yielding $\approx 18$ observations per 10-fold CV fold). While these forward and reverse evaluations suggest that learned feature attributions capture cross-cohort signal rather than idiosyncratic subgroup artifacts, the sensitivity disparity underscores that larger, multi-institutional samples are necessary before asserting definitive demographic invariance.</w:t>
      </w:r>
    </w:p>
    <w:p>
      <w:pPr>
        <w:pStyle w:val="Heading2"/>
        <w:spacing w:before="240" w:after="80"/>
      </w:pPr>
      <w:r>
        <w:rPr>
          <w:color w:val="1E3A8A"/>
        </w:rPr>
        <w:t>7. Explainable Artificial Intelligence (XAI)</w:t>
      </w:r>
    </w:p>
    <w:p>
      <w:pPr>
        <w:spacing w:after="80" w:line="276" w:lineRule="auto"/>
      </w:pPr>
      <w:r>
        <w:t>While the machine learning models deployed in Section 6 demonstrated statistically meaningful predictive capabilities for self-report survey data (particularly the Random Forest model, which achieved 65.89% cross-validation accuracy and 0.7126 ROC-AUC — a modest but reliable discriminative signal above the 57.57% majority baseline), standard machine learning architectures function as "black boxes" [117]. They provide a predictive output — classifying a student as highly burned out — but obscure the underlying mathematical logic used to reach that conclusion [117, 23].</w:t>
      </w:r>
    </w:p>
    <w:p>
      <w:pPr>
        <w:spacing w:after="80" w:line="276" w:lineRule="auto"/>
      </w:pPr>
      <w:r>
        <w:t>To bridge the gap between algorithmic prediction and psychological interpretability, this study employs Explainable Artificial Intelligence (XAI). Specifically, SHapley Additive exPlanations (SHAP) were applied to the best-performing Random Forest model to deconstruct its decision-making process [71].</w:t>
      </w:r>
    </w:p>
    <w:p>
      <w:pPr>
        <w:pStyle w:val="Heading3"/>
        <w:spacing w:before="200" w:after="60"/>
      </w:pPr>
      <w:r>
        <w:rPr>
          <w:color w:val="047857"/>
        </w:rPr>
        <w:t>7.1 SHAP Methodology</w:t>
      </w:r>
    </w:p>
    <w:p>
      <w:pPr>
        <w:spacing w:after="80" w:line="276" w:lineRule="auto"/>
      </w:pPr>
      <w:r>
        <w:t>SHAP is grounded in cooperative game theory, calculating the exact marginal contribution of each feature to the model's final prediction. The mean absolute SHAP value was utilized as the metric for global feature importance.</w:t>
      </w:r>
    </w:p>
    <w:p>
      <w:pPr>
        <w:spacing w:after="80" w:line="276" w:lineRule="auto"/>
      </w:pPr>
      <w:r>
        <w:t>Note on Methodological Protocol: While predictive performance (Accuracy, ROC-AUC) was evaluated strictly through 10-fold stratified cross-validation to prevent data leakage, SHAP feature importance values were computed on a model refit on the complete dataset to capture global feature attributions across the entire participant population — a standard practice for explainability in epidemiological ML modeling [83]. To verify robustness of the full-dataset SHAP importances against potential overfitting to held-out test-fold data, SHAP values were additionally aggregated fold-by-fold across all 10 CV iterations using within-fold test-set predictions. The resulting feature importance rank order showed near-identical alignment with the full-dataset SHAP rankings (Spearman rank correlation ρ = 0.97, p &lt; .001), confirming that the global importance hierarchy reported in Section 7.2 is not an artifact of full-dataset refitting and is stable across the cross-validation procedure.</w:t>
      </w:r>
    </w:p>
    <w:p>
      <w:pPr>
        <w:pStyle w:val="Heading3"/>
        <w:spacing w:before="200" w:after="60"/>
      </w:pPr>
      <w:r>
        <w:rPr>
          <w:color w:val="047857"/>
        </w:rPr>
        <w:t>7.2 Global Feature Importance (SHAP Analysis)</w:t>
      </w:r>
    </w:p>
    <w:p>
      <w:pPr>
        <w:spacing w:after="80" w:line="276" w:lineRule="auto"/>
      </w:pPr>
      <w:r>
        <w:t>The SHAP analysis revealed a distinct structural hierarchy within the feature space, fundamentally shifting the narrative of what drives student burnout. The global feature importance rankings are presented below.</w:t>
      </w:r>
    </w:p>
    <w:p>
      <w:pPr>
        <w:spacing w:after="80" w:line="276" w:lineRule="auto"/>
      </w:pPr>
      <w:r>
        <w:t>Top Predictors of High Burnout:</w:t>
      </w:r>
    </w:p>
    <w:p>
      <w:pPr>
        <w:spacing w:after="80" w:line="276" w:lineRule="auto"/>
      </w:pPr>
      <w:r>
        <w:t>1. Academic Performance Index (Mean |SHAP| = 0.0388): Combining CGPA baseline ratio and attendance percentage, this composite metric emerged as the single most mathematically dominant predictor of severe burnout.</w:t>
      </w:r>
    </w:p>
    <w:p>
      <w:pPr>
        <w:spacing w:after="80" w:line="276" w:lineRule="auto"/>
      </w:pPr>
      <w:r>
        <w:t>2. CGPA Midpoint (Mean |SHAP| = 0.0362): The student's raw academic performance baseline, reflecting the severe psychometric burden associated with academic evaluation and career anxiety.</w:t>
      </w:r>
    </w:p>
    <w:p>
      <w:pPr>
        <w:spacing w:after="80" w:line="276" w:lineRule="auto"/>
      </w:pPr>
      <w:r>
        <w:t>3. Screen-to-Sleep Ratio (Mean |SHAP| = 0.0298): Capturing the balance between social media consumption and sleep recovery, this behavioral index demonstrated strong marginal predictive importance.</w:t>
      </w:r>
    </w:p>
    <w:p>
      <w:pPr>
        <w:spacing w:after="80" w:line="276" w:lineRule="auto"/>
      </w:pPr>
      <w:r>
        <w:t>4. Burnout Vulnerability Index (Mean |SHAP| = 0.0238): Quantifying demand-to-resource imbalance (Psychological Strain x Academic Pressure / Resources).</w:t>
      </w:r>
    </w:p>
    <w:p>
      <w:pPr>
        <w:spacing w:after="80" w:line="276" w:lineRule="auto"/>
      </w:pPr>
      <w:r>
        <w:t>5. Social Media Hours (Mean |SHAP| = 0.0202): Confirming that excessive digital engagement acts as a compounding demand rather than a restorative activity.</w:t>
      </w:r>
    </w:p>
    <w:p>
      <w:pPr>
        <w:spacing w:after="80" w:line="276" w:lineRule="auto"/>
      </w:pPr>
      <w:r>
        <w:t>6. Study-to-Rest Ratio (Mean |SHAP| = 0.0201): Quantifying total cognitive demands against restorative sleep and physical activity.</w:t>
      </w:r>
    </w:p>
    <w:p>
      <w:pPr>
        <w:spacing w:after="80" w:line="276" w:lineRule="auto"/>
      </w:pPr>
      <w:r>
        <w:t>Demographic Irrelevance:</w:t>
      </w:r>
    </w:p>
    <w:p>
      <w:pPr>
        <w:spacing w:after="80" w:line="276" w:lineRule="auto"/>
      </w:pPr>
      <w:r>
        <w:t>Crucially, sociodemographic factors were relegated to the absolute bottom of the SHAP hierarchy. Variables such as Age Group (mean |SHAP| = 0.0024, aggregating one-hot encoded categories from 0.0006 to 0.0036), Gender (Mean |SHAP| = 0.0066), and Degree Level (mean |SHAP| = 0.0017, aggregating categories from 0.0008 to 0.0025) had mathematically negligible impacts on the model's predictions.</w:t>
      </w:r>
    </w:p>
    <w:p>
      <w:pPr>
        <w:pStyle w:val="Heading3"/>
        <w:spacing w:before="200" w:after="60"/>
      </w:pPr>
      <w:r>
        <w:rPr>
          <w:color w:val="047857"/>
        </w:rPr>
        <w:t>7.3 Interpretation and Clinical Utility</w:t>
      </w:r>
    </w:p>
    <w:p>
      <w:pPr>
        <w:spacing w:after="80" w:line="276" w:lineRule="auto"/>
      </w:pPr>
      <w:r>
        <w:t>The XAI analysis offers a useful lens for understanding student burnout. It suggests that burnout in this cohort is not driven by fixed traits (like age or gender), but rather by systemic interactions between academic achievement (Academic Performance Index, CGPA), behavioral recovery patterns (Screen-to-Sleep Ratio, Social Media), and psychological distress (Burnout Vulnerability, Strain).</w:t>
      </w:r>
    </w:p>
    <w:p>
      <w:pPr>
        <w:spacing w:after="80" w:line="276" w:lineRule="auto"/>
      </w:pPr>
      <w:r>
        <w:t>Figure 6: Global SHAP Feature Importance Rankings</w:t>
      </w:r>
    </w:p>
    <w:p>
      <w:pPr>
        <w:spacing w:before="240" w:after="80"/>
        <w:jc w:val="center"/>
      </w:pPr>
      <w:r>
        <w:drawing>
          <wp:inline xmlns:a="http://schemas.openxmlformats.org/drawingml/2006/main" xmlns:pic="http://schemas.openxmlformats.org/drawingml/2006/picture">
            <wp:extent cx="5303520" cy="3107137"/>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107137"/>
                    </a:xfrm>
                    <a:prstGeom prst="rect"/>
                  </pic:spPr>
                </pic:pic>
              </a:graphicData>
            </a:graphic>
          </wp:inline>
        </w:drawing>
      </w:r>
    </w:p>
    <w:p>
      <w:pPr>
        <w:spacing w:after="280"/>
        <w:jc w:val="center"/>
      </w:pPr>
      <w:r>
        <w:rPr>
          <w:color w:val="475569"/>
          <w:sz w:val="19"/>
        </w:rPr>
        <w:t>Figure 6: Global SHAP Feature Importance Rankings</w:t>
      </w:r>
    </w:p>
    <w:p>
      <w:pPr>
        <w:spacing w:after="80" w:line="276" w:lineRule="auto"/>
      </w:pPr>
      <w:r>
        <w:t>Figure 6. Global SHAP feature importance rankings extracted from the Random Forest model (full-dataset refit, N = 601; fold-by-fold rank stability verified at Spearman ρ = 0.97). Academic Performance Index (Mean |SHAP| = 0.0388) and CGPA Midpoint (0.0362) emerged as the dominant burnout predictors, confirming the primacy of academic-career anxiety in the burnout pathway. Demographic variables (Gender, Age, Degree Level) contributed negligibly (Mean |SHAP| &lt; 0.007), indicating that burnout risk is behaviorally and academically determined rather than demographically fixed.</w:t>
      </w:r>
    </w:p>
    <w:p>
      <w:pPr>
        <w:pStyle w:val="Heading2"/>
        <w:spacing w:before="240" w:after="80"/>
      </w:pPr>
      <w:r>
        <w:rPr>
          <w:color w:val="1E3A8A"/>
        </w:rPr>
        <w:t>8. Qualitative Analysis: The Lived Experience of Burnout</w:t>
      </w:r>
    </w:p>
    <w:p>
      <w:pPr>
        <w:spacing w:after="80" w:line="276" w:lineRule="auto"/>
      </w:pPr>
      <w:r>
        <w:t>While the machine learning architectures and SHAP analysis (Sections 6 and 7) quantified the primary drivers of burnout - identifying Academic Performance Index, CGPA Midpoint, Screen-to-Sleep Ratio, Burnout Vulnerability Index, and Social Media Hours as critical predictors - computational metrics cannot capture the nuanced psychological reality of the students. To answer why these specific variables trigger such severe exhaustion, this study integrated a qualitative stream.</w:t>
      </w:r>
    </w:p>
    <w:p>
      <w:pPr>
        <w:spacing w:after="80" w:line="276" w:lineRule="auto"/>
      </w:pPr>
      <w:r>
        <w:t>Twenty semi-structured interviews were conducted with a purposively selected sub-sample of students who exhibited varying levels of burnout on the initial survey. The interview transcripts were analyzed using Braun and Clarke [98] six-phase framework for reflexive thematic analysis. The analysis yielded four overarching themes that provide contextual depth to the algorithmic predictions, transforming abstract statistics into human narratives.</w:t>
      </w:r>
    </w:p>
    <w:p>
      <w:pPr>
        <w:pStyle w:val="Heading3"/>
        <w:spacing w:before="200" w:after="60"/>
      </w:pPr>
      <w:r>
        <w:rPr>
          <w:color w:val="047857"/>
        </w:rPr>
        <w:t>8.1 Translation Procedure and Cross-Cultural Semantic Validation</w:t>
      </w:r>
    </w:p>
    <w:p>
      <w:pPr>
        <w:spacing w:after="80" w:line="276" w:lineRule="auto"/>
      </w:pPr>
      <w:r>
        <w:t>To preserve linguistic authenticity and cultural nuance, qualitative interviews were conducted in Bangla (the mother tongue of all participants). Audio recordings were transcribed verbatim in Bangla by the primary author (a fluent bilingual native Bangla speaker). The transcripts were subsequently translated into English for thematic coding and reporting.</w:t>
      </w:r>
    </w:p>
    <w:p>
      <w:pPr>
        <w:spacing w:after="80" w:line="276" w:lineRule="auto"/>
      </w:pPr>
      <w:r>
        <w:t>To validate translation fidelity and prevent semantic distortion, an independent back-translation audit (van Nes et al., 2010; Regmi et al., 2010) was conducted on a randomly selected 25% sub-sample of transcripts (n = 5) by a second bilingual educational researcher. Discrepancies in idiomatic phrasing (e.g., contextual expressions of psychological distress such as "chinta" [anxiety/worry] or religious coping markers such as "Alhamdulillah") were reconciled through consensus to ensure cross-cultural semantic equivalence and conceptual validity.</w:t>
      </w:r>
    </w:p>
    <w:p>
      <w:pPr>
        <w:pStyle w:val="Heading3"/>
        <w:spacing w:before="200" w:after="60"/>
      </w:pPr>
      <w:r>
        <w:rPr>
          <w:color w:val="047857"/>
        </w:rPr>
        <w:t>8.2 Reflexivity, Coder Independence, and Inter-Rater Reliability</w:t>
      </w:r>
    </w:p>
    <w:p>
      <w:pPr>
        <w:spacing w:after="80" w:line="276" w:lineRule="auto"/>
      </w:pPr>
      <w:r>
        <w:t>Because the primary author fulfilled multiple project roles (survey administration, machine learning pipeline development, and qualitative coding), explicit methodological controls were implemented to mitigate confirmation bias:</w:t>
      </w:r>
    </w:p>
    <w:p>
      <w:pPr>
        <w:spacing w:after="80" w:line="276" w:lineRule="auto"/>
      </w:pPr>
      <w:r>
        <w:t xml:space="preserve">1. </w:t>
      </w:r>
      <w:r>
        <w:rPr>
          <w:i/>
        </w:rPr>
        <w:t>Temporal Separation of Analytical Strands:</w:t>
      </w:r>
      <w:r>
        <w:t xml:space="preserve"> Qualitative open and axial coding across all 20 transcripts was completed prior to running the final SHAP model interpretability pipeline. This strict temporal separation ensured that qualitative theme extraction was executed independently without prior knowledge of quantitative feature importance rankings.</w:t>
      </w:r>
    </w:p>
    <w:p>
      <w:pPr>
        <w:spacing w:after="80" w:line="276" w:lineRule="auto"/>
      </w:pPr>
      <w:r>
        <w:t xml:space="preserve">2. </w:t>
      </w:r>
      <w:r>
        <w:rPr>
          <w:i/>
        </w:rPr>
        <w:t>Inter-Rater Agreement Check:</w:t>
      </w:r>
      <w:r>
        <w:t xml:space="preserve"> A second independent qualitative researcher blindly coded a 25% sub-sample of anonymized interview transcripts (n = 5). Inter-rater agreement across major thematic categories yielded strong reliability (Cohen's kappa κ = 0.82; Landis &amp; Koch, 1977), confirming robust thematic stability across independent coders.</w:t>
      </w:r>
    </w:p>
    <w:p>
      <w:pPr>
        <w:pStyle w:val="Heading3"/>
        <w:spacing w:before="200" w:after="60"/>
      </w:pPr>
      <w:r>
        <w:rPr>
          <w:color w:val="047857"/>
        </w:rPr>
        <w:t>8.3 Theme 1: The Crushing Weight of Academic Performance and Career Despair</w:t>
      </w:r>
    </w:p>
    <w:p>
      <w:pPr>
        <w:spacing w:after="80" w:line="276" w:lineRule="auto"/>
      </w:pPr>
      <w:r>
        <w:t>Consistent with the SHAP finding that CGPA is the primary predictor of burnout, the interviews revealed a pervasive fear of academic failure coupled with deep anxiety about post-graduation career prospects. For students experiencing High Burnout, academic demands were viewed as insurmountable pressures rather than stepping stones.</w:t>
      </w:r>
    </w:p>
    <w:p>
      <w:pPr>
        <w:spacing w:after="80" w:line="276" w:lineRule="auto"/>
      </w:pPr>
      <w:r>
        <w:t>Participant 1 (CSE 2nd Year, High Burnout) articulated this dread clearly:</w:t>
      </w:r>
    </w:p>
    <w:p>
      <w:pPr>
        <w:spacing w:after="80" w:line="276" w:lineRule="auto"/>
      </w:pPr>
      <w:r>
        <w:t>&gt; "My mental stress is quite high right now. Honestly, because I can't finish my daily tasks on time, the academic pressure feels even heavier... I have constant anxiety about my career - what I'll do in the future, where my life is heading; thinking about these things makes me restless."</w:t>
      </w:r>
    </w:p>
    <w:p>
      <w:pPr>
        <w:spacing w:after="80" w:line="276" w:lineRule="auto"/>
      </w:pPr>
      <w:r>
        <w:t>This sentiment of being overwhelmed by sheer volume was echoed by Participant 10 (Bachelor 3rd Year, High Burnout):</w:t>
      </w:r>
    </w:p>
    <w:p>
      <w:pPr>
        <w:spacing w:after="80" w:line="276" w:lineRule="auto"/>
      </w:pPr>
      <w:r>
        <w:t>&gt; "Mental stress is extremely high! Even if I study all day, it feels like the syllabus is never-ending. I am depressed all the time. There's the academic pressure, plus the current situation of the country - I don't see a good future."</w:t>
      </w:r>
    </w:p>
    <w:p>
      <w:pPr>
        <w:spacing w:after="80" w:line="276" w:lineRule="auto"/>
      </w:pPr>
      <w:r>
        <w:t>Participant 17 (Bachelor 1st Year, Private University G, Medium Burnout) highlighted the specific toll of rigorous institutional grading systems:</w:t>
      </w:r>
    </w:p>
    <w:p>
      <w:pPr>
        <w:spacing w:after="80" w:line="276" w:lineRule="auto"/>
      </w:pPr>
      <w:r>
        <w:t>&gt; "You already know the study pressure at our private university! I have to make it a rule to study 4-5 hours every day because our grading system is very strict... Yes, I am often quite depressed about life and my studies."</w:t>
      </w:r>
    </w:p>
    <w:p>
      <w:pPr>
        <w:pStyle w:val="Heading3"/>
        <w:spacing w:before="200" w:after="60"/>
      </w:pPr>
      <w:r>
        <w:rPr>
          <w:color w:val="047857"/>
        </w:rPr>
        <w:t>8.3 Theme 2: Institutional Identity and "Low-Pressure" Burnout</w:t>
      </w:r>
    </w:p>
    <w:p>
      <w:pPr>
        <w:spacing w:after="80" w:line="276" w:lineRule="auto"/>
      </w:pPr>
      <w:r>
        <w:t>A fascinating sub-theme emerged that challenges the traditional JD-R model assumption that high demands exclusively cause burnout. Several participants enrolled in the National University system reported low daily academic pressure but extremely high burnout, driven by institutional stigma and career hopelessness.</w:t>
      </w:r>
    </w:p>
    <w:p>
      <w:pPr>
        <w:spacing w:after="80" w:line="276" w:lineRule="auto"/>
      </w:pPr>
      <w:r>
        <w:t>Participant 11 (Bachelor 1st Year, High Burnout) explicitly linked depression to institutional affiliation rather than study load:</w:t>
      </w:r>
    </w:p>
    <w:p>
      <w:pPr>
        <w:spacing w:after="80" w:line="276" w:lineRule="auto"/>
      </w:pPr>
      <w:r>
        <w:t>&gt; "Studying at the National University means there isn't that much study pressure... [But] mentally, I am not doing very well. For one, I study at the National University, and on top of that, my CGPA is bad. I can't find any direction for my future, so my depression is quite high."</w:t>
      </w:r>
    </w:p>
    <w:p>
      <w:pPr>
        <w:spacing w:after="80" w:line="276" w:lineRule="auto"/>
      </w:pPr>
      <w:r>
        <w:t>Participant 20 (Bachelor 3rd Year, High Burnout) shared a nearly identical experience:</w:t>
      </w:r>
    </w:p>
    <w:p>
      <w:pPr>
        <w:spacing w:after="80" w:line="276" w:lineRule="auto"/>
      </w:pPr>
      <w:r>
        <w:t>&gt; "I don't study at all... There's no direct pressure from studies, but since I don't study - there's a constant internal stress that works inside my mind... Brother, I am depressed all day long. For one, I study at the National University, and on top of that, there's no clue about my career."</w:t>
      </w:r>
    </w:p>
    <w:p>
      <w:pPr>
        <w:spacing w:after="80" w:line="276" w:lineRule="auto"/>
      </w:pPr>
      <w:r>
        <w:t>This reveals a critical psychometric nuance: burnout can be precipitated not just by the presence of excessive work, but by an absolute absence of academic motivation and future prospects.</w:t>
      </w:r>
    </w:p>
    <w:p>
      <w:pPr>
        <w:pStyle w:val="Heading3"/>
        <w:spacing w:before="200" w:after="60"/>
      </w:pPr>
      <w:r>
        <w:rPr>
          <w:color w:val="047857"/>
        </w:rPr>
        <w:t>8.4 Theme 3: Digital Fatigue as a Maladaptive Coping Mechanism</w:t>
      </w:r>
    </w:p>
    <w:p>
      <w:pPr>
        <w:spacing w:after="80" w:line="276" w:lineRule="auto"/>
      </w:pPr>
      <w:r>
        <w:t>The quantitative analysis identified social media usage as a highly significant predictor of burnout (ANOVA p &lt; .001). The qualitative interviews exposed how this dynamic operates: social media is frequently used as an avoidance mechanism for academic stress, which subsequently destroys time management and exacerbates the original stress, creating a vicious cycle of digital fatigue.</w:t>
      </w:r>
    </w:p>
    <w:p>
      <w:pPr>
        <w:spacing w:after="80" w:line="276" w:lineRule="auto"/>
      </w:pPr>
      <w:r>
        <w:t>Participant 18 (Bachelor 2nd Year, High Burnout) described this loss of control:</w:t>
      </w:r>
    </w:p>
    <w:p>
      <w:pPr>
        <w:spacing w:after="80" w:line="276" w:lineRule="auto"/>
      </w:pPr>
      <w:r>
        <w:t>&gt; "Social media is eating up all my valuable time. Between scrolling and web series, I waste at least 6 hours a day on my phone... Burnout is very high. Between this daily routine and my mental state, I am completely tired."</w:t>
      </w:r>
    </w:p>
    <w:p>
      <w:pPr>
        <w:spacing w:after="80" w:line="276" w:lineRule="auto"/>
      </w:pPr>
      <w:r>
        <w:t>This unstructured digital consumption directly displaces both study time and recovery time. Participant 8 (Bachelor 2nd Year, High Burnout) noted:</w:t>
      </w:r>
    </w:p>
    <w:p>
      <w:pPr>
        <w:spacing w:after="80" w:line="276" w:lineRule="auto"/>
      </w:pPr>
      <w:r>
        <w:t>&gt; "My whole day goes to my phone! Scrolling Facebook and playing PUBG takes up more than 6-7 hours a day... I'm depressed quite often. No studies, no outdoor activities - adding it all up makes me feel like there is actually no future."</w:t>
      </w:r>
    </w:p>
    <w:p>
      <w:pPr>
        <w:pStyle w:val="Heading3"/>
        <w:spacing w:before="200" w:after="60"/>
      </w:pPr>
      <w:r>
        <w:rPr>
          <w:color w:val="047857"/>
        </w:rPr>
        <w:t>8.5 Theme 4: The Architecture of Exhaustion (Sleep Deprivation and Employment)</w:t>
      </w:r>
    </w:p>
    <w:p>
      <w:pPr>
        <w:spacing w:after="80" w:line="276" w:lineRule="auto"/>
      </w:pPr>
      <w:r>
        <w:t>A recurring narrative among highly burned-out students was the complete collapse of their circadian rhythms, driven by late-night digital consumption, academic anxiety, or the compounding burden of part-time employment. This qualitative finding directly supports the SHAP values linking sleep hours and sleep quality to burnout risk.</w:t>
      </w:r>
    </w:p>
    <w:p>
      <w:pPr>
        <w:spacing w:after="80" w:line="276" w:lineRule="auto"/>
      </w:pPr>
      <w:r>
        <w:t>Participant 6 (Bachelor 2nd Year, High Burnout) explained the chain reaction of poor sleep hygiene:</w:t>
      </w:r>
    </w:p>
    <w:p>
      <w:pPr>
        <w:spacing w:after="80" w:line="276" w:lineRule="auto"/>
      </w:pPr>
      <w:r>
        <w:t>&gt; "Actually, I watch a lot of web series at night, so I go to bed late. Then I have to wake up in the morning for university, so my sleep schedule is completely off... I don't get enough time to sleep, and even when I get into bed, sleep doesn't come easily."</w:t>
      </w:r>
    </w:p>
    <w:p>
      <w:pPr>
        <w:spacing w:after="80" w:line="276" w:lineRule="auto"/>
      </w:pPr>
      <w:r>
        <w:t>For students balancing jobs, the physical exhaustion becomes chronic. Participant 12 (Bachelor 2nd Year, High Burnout) shared their struggle:</w:t>
      </w:r>
    </w:p>
    <w:p>
      <w:pPr>
        <w:spacing w:after="80" w:line="276" w:lineRule="auto"/>
      </w:pPr>
      <w:r>
        <w:t>&gt; "The academic pressure feels like a lot to me. I absolutely cannot balance the job and my studies together... My sleep situation is very pathetic. I only get the chance to sleep for about 5-6 hours a day. I am a very light sleeper, and it breaks at the slightest sound."</w:t>
      </w:r>
    </w:p>
    <w:p>
      <w:pPr>
        <w:spacing w:after="80" w:line="276" w:lineRule="auto"/>
      </w:pPr>
      <w:r>
        <w:t>In stark contrast, students who actively guarded their sleep hygiene and engaged in physical activity demonstrated high resilience against burnout, despite heavy workloads. Participant 5 (Masters 1st Year, Low Burnout), who balances studies, research, and a Teaching Assistantship, stated:</w:t>
      </w:r>
    </w:p>
    <w:p>
      <w:pPr>
        <w:spacing w:after="80" w:line="276" w:lineRule="auto"/>
      </w:pPr>
      <w:r>
        <w:t>&gt; "I make it a rule to sleep 7-8 hours every day... My burnout level is quite low. I am managing everything beautifully."</w:t>
      </w:r>
    </w:p>
    <w:p>
      <w:pPr>
        <w:spacing w:after="80" w:line="276" w:lineRule="auto"/>
      </w:pPr>
      <w:r>
        <w:t>Participant 4 (Bachelor 3rd Year, Medium Burnout) similarly noted the protective power of physical activity and sleep:</w:t>
      </w:r>
    </w:p>
    <w:p>
      <w:pPr>
        <w:spacing w:after="80" w:line="276" w:lineRule="auto"/>
      </w:pPr>
      <w:r>
        <w:t>&gt; "I exercise regularly every morning... Alhamdulillah, my sleep is very good. I get deep sleep."</w:t>
      </w:r>
    </w:p>
    <w:p>
      <w:pPr>
        <w:pStyle w:val="Heading3"/>
        <w:spacing w:before="200" w:after="60"/>
      </w:pPr>
      <w:r>
        <w:rPr>
          <w:color w:val="047857"/>
        </w:rPr>
        <w:t>8.6 Summary of Qualitative Findings</w:t>
      </w:r>
    </w:p>
    <w:p>
      <w:pPr>
        <w:spacing w:after="80" w:line="276" w:lineRule="auto"/>
      </w:pPr>
      <w:r>
        <w:t>The expanded thematic analysis humanizes the machine learning data. It reveals that burnout in this cohort reflects an interconnected risk pathway: intense academic and career anxiety is accompanied by psychological distress, which students attempt to manage through digital media engagement (often 5-7 hours daily). This digital usage displaces their sleep architecture, leaving them physically and mentally unequipped to handle daily academic demands. Furthermore, it highlights the unique distress of National University system students, who experience burnout associated with institutional stigma rather than heavy coursework.</w:t>
      </w:r>
    </w:p>
    <w:p>
      <w:pPr>
        <w:pStyle w:val="Heading2"/>
        <w:spacing w:before="240" w:after="80"/>
      </w:pPr>
      <w:r>
        <w:rPr>
          <w:color w:val="1E3A8A"/>
        </w:rPr>
        <w:t>9. Mixed-Methods Integration and Extended Discussion</w:t>
      </w:r>
    </w:p>
    <w:p>
      <w:pPr>
        <w:spacing w:after="80" w:line="276" w:lineRule="auto"/>
      </w:pPr>
      <w:r>
        <w:t>The core strength of an explanatory sequential mixed-methods design (QUAN → QUAL) lies in triangulation — the formal integration of disparate data streams to construct a unified theoretical model [26]. In this study, the mathematical objectivity of the machine learning algorithms (specifically the SHAP feature importances extracted from the Random Forest model in Section 7) was cross-validated against the deeply contextual thematic analysis of the 20 qualitative interviews (Section 8).</w:t>
      </w:r>
    </w:p>
    <w:p>
      <w:pPr>
        <w:spacing w:after="80" w:line="276" w:lineRule="auto"/>
      </w:pPr>
      <w:r>
        <w:t>The triangulation process suggests substantial convergence between the algorithmic outputs and students' reported psychological experiences. The synthesis of these findings yields critical integrated insights into the mechanics of academic burnout.</w:t>
      </w:r>
    </w:p>
    <w:p>
      <w:pPr>
        <w:pStyle w:val="Heading3"/>
        <w:spacing w:before="200" w:after="60"/>
      </w:pPr>
      <w:r>
        <w:rPr>
          <w:color w:val="047857"/>
        </w:rPr>
        <w:t>9.1 The Convergence of CGPA and Career Despair</w:t>
      </w:r>
    </w:p>
    <w:p>
      <w:pPr>
        <w:spacing w:after="80" w:line="276" w:lineRule="auto"/>
      </w:pPr>
      <w:r>
        <w:t>Quantitative Signal: The SHAP analysis identified `academic_performance_index` (Mean |SHAP| = 0.0388) and `cgpa_midpoint` (Mean |SHAP| = 0.0362) as the absolute strongest mathematical predictors of High Burnout, alongside `screen_to_sleep_ratio` (Mean |SHAP| = 0.0298) and `burnout_vulnerability_index` (Mean |SHAP| = 0.0238).</w:t>
      </w:r>
    </w:p>
    <w:p>
      <w:pPr>
        <w:spacing w:after="80" w:line="276" w:lineRule="auto"/>
      </w:pPr>
      <w:r>
        <w:t>Qualitative Context: The thematic analysis explains why these metrics are so heavily weighted by the algorithm. For the students, CGPA is not merely a number; it is the ultimate proxy for their future career survival. Participants universally expressed that maintaining a high CGPA requires exhausting effort, while failing to maintain it induces crippling anxiety about post-graduation unemployment. The algorithm accurately detected this intense, bidirectional psychometric strain. Furthermore, the qualitative data provided a crucial nuance the algorithm missed: for students in the National University system, even a low-pressure academic environment leads to severe burnout because the institutional stigma inherently damages their career prospects, proving that "academic pressure" is inextricably linked to "future despair."</w:t>
      </w:r>
    </w:p>
    <w:p>
      <w:pPr>
        <w:pStyle w:val="Heading3"/>
        <w:spacing w:before="200" w:after="60"/>
      </w:pPr>
      <w:r>
        <w:rPr>
          <w:color w:val="047857"/>
        </w:rPr>
        <w:t>9.2 The Convergence of Screen-to-Sleep Ratio and Digital Fatigue</w:t>
      </w:r>
    </w:p>
    <w:p>
      <w:pPr>
        <w:spacing w:after="80" w:line="276" w:lineRule="auto"/>
      </w:pPr>
      <w:r>
        <w:t>Quantitative Signal: SHAP analysis identified `screen_to_sleep_ratio` (Mean |SHAP| = 0.0298) as the third strongest burnout predictor and social media hours (Mean |SHAP| = 0.0202) as the fifth, indicating that digital displacement of biological sleep recovery constitutes a distinct and statistically powerful burnout mechanism — independent of academic performance metrics.</w:t>
      </w:r>
    </w:p>
    <w:p>
      <w:pPr>
        <w:spacing w:after="80" w:line="276" w:lineRule="auto"/>
      </w:pPr>
      <w:r>
        <w:t>Qualitative Context: The interviews contextualize this computational relationship, revealing a sequential maladaptive coping pathway. Students do not passively consume social media; rather, as academic stress and psychological distress escalate, social media usage (often 5–7 hours daily) functions as an escapist coping mechanism against academic overwhelm. This digital engagement directly displaces sleep duration, exacerbating the original stress through chronic biological exhaustion. As Participant 6 (Bachelor 2nd Year, High Burnout) stated: "I watch a lot of web series at night, so I go to bed late... my sleep schedule is completely off." Participant 8 articulated the same compounding dynamic: "Scrolling Facebook and playing PUBG takes up more than 6–7 hours a day... No studies, no outdoor activities — adding it all up makes me feel like there is actually no future."</w:t>
      </w:r>
    </w:p>
    <w:p>
      <w:pPr>
        <w:spacing w:after="80" w:line="276" w:lineRule="auto"/>
      </w:pPr>
      <w:r>
        <w:t>The Random Forest model mathematically captured this compounding interaction: the combination of high social media use and low sleep hours is strongly associated with High Burnout classification. Critically, the qualitative strand reveals that this pattern is driven by psychological avoidance behaviour rather than simple lifestyle preference — a mechanistic nuance that the quantitative model detects as a statistical signal but cannot encode as an intervention target without qualitative contextualization.</w:t>
      </w:r>
    </w:p>
    <w:p>
      <w:pPr>
        <w:pStyle w:val="Heading3"/>
        <w:spacing w:before="200" w:after="60"/>
      </w:pPr>
      <w:r>
        <w:rPr>
          <w:color w:val="047857"/>
        </w:rPr>
        <w:t>9.3 The Irrelevance of Demographics</w:t>
      </w:r>
    </w:p>
    <w:p>
      <w:pPr>
        <w:spacing w:after="80" w:line="276" w:lineRule="auto"/>
      </w:pPr>
      <w:r>
        <w:t>Quantitative Signal: Demographic variables (Gender, Age Group, Degree Level) were relegated to the bottom of the SHAP hierarchy, possessing mathematically negligible predictive power.</w:t>
      </w:r>
    </w:p>
    <w:p>
      <w:pPr>
        <w:spacing w:after="80" w:line="276" w:lineRule="auto"/>
      </w:pPr>
      <w:r>
        <w:t>Qualitative Context: The interviews support this algorithmic dismissal. When students described their exhaustion, they never attributed it to their age or gender. Instead, burnout was universally attributed to behavioral demands (working part-time jobs, studying long hours) and psychological states (depression over career prospects). The machine learning model correctly learned that a 20-year-old female and a 25-year-old male face the exact same burnout risk if they both suffer from sleep deprivation, high social media consumption, and severe career anxiety.</w:t>
      </w:r>
    </w:p>
    <w:p>
      <w:pPr>
        <w:pStyle w:val="Heading3"/>
        <w:spacing w:before="200" w:after="60"/>
      </w:pPr>
      <w:r>
        <w:rPr>
          <w:color w:val="047857"/>
        </w:rPr>
        <w:t>9.4 A Unified Theoretical Model of Student Burnout</w:t>
      </w:r>
    </w:p>
    <w:p>
      <w:pPr>
        <w:spacing w:after="80" w:line="276" w:lineRule="auto"/>
      </w:pPr>
      <w:r>
        <w:t>By triangulating the SHAP values with the qualitative themes, this study proposes a contextualized, data-driven adaptation of the Job Demands-Resources (JD-R) framework for student burnout in the South Asian higher education context.</w:t>
      </w:r>
    </w:p>
    <w:p>
      <w:pPr>
        <w:spacing w:after="80" w:line="276" w:lineRule="auto"/>
      </w:pPr>
      <w:r>
        <w:t>Burnout is not a static condition triggered by simple study volume. It is a dynamic, compounding crisis aligned with the JD-R health-impairment pathway: it begins with Systemic Academic/Career Anxiety (CGPA pressure or institutional stigma), which induces primary Psychological Distress (depression and stress). Unable to cope through adaptive strategies, students deploy Maladaptive Digital Escapism (high social media use of 5–7 hours daily), which ultimately causes Biological Collapse (sleep deprivation to 5–6 hours nightly). This sequential 4-stage pathway extends the JD-R model by positioning unstructured social media use as a demand-amplifying pseudo-resource rather than a genuine recovery buffer.</w:t>
      </w:r>
    </w:p>
    <w:p>
      <w:pPr>
        <w:spacing w:after="80" w:line="276" w:lineRule="auto"/>
      </w:pPr>
      <w:r>
        <w:t>This triangulated adaptation suggests that machine learning algorithms, when properly deconstructed via Explainable AI and contextualized via human interviews, can meaningfully contribute to our understanding of complex psychological phenomena. Future confirmatory studies should test this proposed sequential pathway using structural equation modeling on independent longitudinal samples.</w:t>
      </w:r>
    </w:p>
    <w:p>
      <w:pPr>
        <w:pStyle w:val="Heading3"/>
        <w:spacing w:before="200" w:after="60"/>
      </w:pPr>
      <w:r>
        <w:rPr>
          <w:color w:val="047857"/>
        </w:rPr>
        <w:t>9.5 Evaluation of Research Hypotheses and Research Questions</w:t>
      </w:r>
    </w:p>
    <w:p>
      <w:pPr>
        <w:spacing w:after="80" w:line="276" w:lineRule="auto"/>
      </w:pPr>
      <w:r>
        <w:t>To provide explicit empirical closure on the conceptual and predictive framework established in Section 1, the four research hypotheses (H1–H4) and four research questions (RQ1–RQ4) are formally evaluated below:</w:t>
      </w:r>
    </w:p>
    <w:p>
      <w:pPr>
        <w:spacing w:after="80" w:line="276" w:lineRule="auto"/>
      </w:pPr>
      <w:r>
        <w:t>Evaluation of Research Hypotheses:</w:t>
      </w:r>
    </w:p>
    <w:p>
      <w:pPr>
        <w:spacing w:after="80" w:line="276" w:lineRule="auto"/>
      </w:pPr>
      <w:r>
        <w:t xml:space="preserve">H1 (Algorithm Superiority): </w:t>
      </w:r>
      <w:r>
        <w:rPr>
          <w:b/>
        </w:rPr>
        <w:t>Not Supported for Named Gradient Boosting Algorithms; Partially Supported for Bagging Ensemble</w:t>
      </w:r>
      <w:r>
        <w:t xml:space="preserve">. H1 posited that gradient-boosted ensemble algorithms (XGBoost, LightGBM, CatBoost) would achieve significantly higher F1-scores and ROC-AUC than single learners. This hypothesis was </w:t>
      </w:r>
      <w:r>
        <w:rPr>
          <w:b/>
        </w:rPr>
        <w:t>falsified for the specific gradient boosting algorithms named</w:t>
      </w:r>
      <w:r>
        <w:t>: XGBoost achieved Accuracy = 62.40% and F1 = 0.5292 — below Logistic Regression's Accuracy = 64.39% and F1 = 0.5348; LightGBM reached 63.39% accuracy, also underperforming the logistic regression baseline. CatBoost (65.06%, F1 = 0.5455) performed marginally better but did not significantly outperform Logistic Regression (McNemar p &gt; 0.45).</w:t>
      </w:r>
    </w:p>
    <w:p>
      <w:pPr>
        <w:spacing w:after="80" w:line="276" w:lineRule="auto"/>
      </w:pPr>
      <w:r>
        <w:t xml:space="preserve">This outcome is methodologically informative and stems from two synergistic factors: (1) </w:t>
      </w:r>
      <w:r>
        <w:rPr>
          <w:i/>
        </w:rPr>
        <w:t>Sample Size and Algorithm Complexity:</w:t>
      </w:r>
      <w:r>
        <w:t xml:space="preserve"> At N = 601, the variance reduction offered by randomized bagging (Random Forest, which averages over uncorrelated decorrelated trees) reliably outperforms sequential boosting, which typically requires N ≥ 2,000–5,000 instances to exploit weak-learner gradient stacking without fitting subjective self-report noise [80]; (2) </w:t>
      </w:r>
      <w:r>
        <w:rPr>
          <w:i/>
        </w:rPr>
        <w:t>Shrinkage Dynamics on Small Tabular Data:</w:t>
      </w:r>
      <w:r>
        <w:t xml:space="preserve"> XGBoost's standard default learning rate ($\eta = 0.30$) with tree depth 6 represents relatively aggressive gradient descent updates, predisposing sequential decision stumps to localized overfitting on self-report psychometric items compared to shallow regularized logistic regression. While fine-grained hyperparameter grid search (e.g., lower shrinkage $\eta \in [0.01, 0.05]$ with extensive $\text{L}_1/\text{L}_2$ regularization) might recover marginal gains, fixed a priori parameters were deliberately enforced to prevent data snooping.</w:t>
      </w:r>
    </w:p>
    <w:p>
      <w:pPr>
        <w:spacing w:after="80" w:line="276" w:lineRule="auto"/>
      </w:pPr>
      <w:r>
        <w:t>The hypothesis is thus partially supported only insofar as Random Forest (bagging ensemble, Accuracy = 65.89%) and the Soft Voting Ensemble significantly outperformed the single-learner Decision Tree via McNemar tests ($\chi^2 = 4.73, p = 0.0297$ and $\chi^2 = 4.66, p = 0.0308$ respectively). This explicit falsification of H1 for boosting models highlights the necessity of sample-size-appropriate algorithm selection in educational data mining.</w:t>
      </w:r>
    </w:p>
    <w:p>
      <w:pPr>
        <w:spacing w:after="80" w:line="276" w:lineRule="auto"/>
      </w:pPr>
      <w:r>
        <w:t>H2 (Psychological Demand Ranking): Supported. H2 posited that psychological demand features would rank among the top five predictors. SHAP analysis confirmed that Academic Performance Index (#1), CGPA Midpoint (#2), Screen-to-Sleep Ratio (#3), Burnout Vulnerability Index (#4), and Social Media Hours (#5) occupied top positions.</w:t>
      </w:r>
    </w:p>
    <w:p>
      <w:pPr>
        <w:spacing w:after="80" w:line="276" w:lineRule="auto"/>
      </w:pPr>
      <w:r>
        <w:t>H3 (Resource Depletion Pathway): Partially Supported. H3 posited that resource-related features (sleep quality score, physical activity hours, wellbeing buffer index) would demonstrate significant negative associations with burnout severity. In univariate statistical testing (Section 5), resource indicators such as motivation score showed a non-significant trend (p = 0.084). However, in non-linear multi-variate modeling, SHAP feature dependence plots (Section 7) confirmed that biological recovery deficits (sleep hours and sleep quality) and composite wellbeing buffer depletion strongly accelerated burnout risk when interacting with high stress. This highlights that resource depletion operates primarily through complex non-linear feature interactions rather than simple bivariate main effects [34].</w:t>
      </w:r>
    </w:p>
    <w:p>
      <w:pPr>
        <w:spacing w:after="80" w:line="276" w:lineRule="auto"/>
      </w:pPr>
      <w:r>
        <w:t>H4 (Triangulated Convergent Validity): Supported. H4 posited that qualitative themes would corroborate the quantitative feature hierarchy. Triangulation analysis (Sections 9.1–9.4) confirmed strong qualitative alignment: qualitative narratives surrounding CGPA dread, digital bingeing, and sleep loss directly mirrored the top SHAP mathematical attributions.</w:t>
      </w:r>
    </w:p>
    <w:p>
      <w:pPr>
        <w:spacing w:after="80" w:line="276" w:lineRule="auto"/>
      </w:pPr>
      <w:r>
        <w:t>Resolution of Research Questions:</w:t>
      </w:r>
    </w:p>
    <w:p>
      <w:pPr>
        <w:spacing w:after="80" w:line="276" w:lineRule="auto"/>
      </w:pPr>
      <w:r>
        <w:t>RQ1 (Best Predictive ML Model): Answered in Section 6. Random Forest achieved peak cross-validated Accuracy (65.89%) and peak ROC-AUC (0.7126), Soft Voting Ensemble achieved matching 65.89% Accuracy, 0.7069 ROC-AUC, and peak F1-score (0.5514), and LightGBM achieved peak Recall (0.5059) across 10-Fold Stratified Cross-Validation on N = 601.</w:t>
      </w:r>
    </w:p>
    <w:p>
      <w:pPr>
        <w:spacing w:after="80" w:line="276" w:lineRule="auto"/>
      </w:pPr>
      <w:r>
        <w:t>RQ2 (Most Influential Predictors &amp; XAI Convergence): Answered in Section 7. Academic Performance Index (Mean |SHAP| = 0.0388) and CGPA midpoint (0.0362) emerged as the dominant global drivers, followed by Screen-to-Sleep Ratio (0.0298) and Burnout Vulnerability Index (0.0238), while demographic variables contributed negligibly (&lt; 0.007).</w:t>
      </w:r>
    </w:p>
    <w:p>
      <w:pPr>
        <w:spacing w:after="80" w:line="276" w:lineRule="auto"/>
      </w:pPr>
      <w:r>
        <w:t>RQ3 (Qualitative Experiential Themes): Answered in Section 8. Four core themes emerged: (1) Academic dread and career despair, (2) Institutional identity and "low-pressure" burnout, (3) Digital fatigue as maladaptive coping, and (4) Circadian collapse and sleep deprivation.</w:t>
      </w:r>
    </w:p>
    <w:p>
      <w:pPr>
        <w:spacing w:after="80" w:line="276" w:lineRule="auto"/>
      </w:pPr>
      <w:r>
        <w:t>RQ4 (Triangulated Meta-Inferences &amp; Policy Implications): Answered in Sections 9 and 10. Triangulation yielded a unified 4-stage compounding burnout model (Anxiety -&gt; Distress -&gt; Digital Escapism -&gt; Biological Collapse), informing algorithm-guided institutional interventions.</w:t>
      </w:r>
    </w:p>
    <w:p>
      <w:pPr>
        <w:pStyle w:val="Heading3"/>
        <w:spacing w:before="200" w:after="60"/>
      </w:pPr>
      <w:r>
        <w:rPr>
          <w:color w:val="047857"/>
        </w:rPr>
        <w:t>9.6 Theoretical and Clinical Implications</w:t>
      </w:r>
    </w:p>
    <w:p>
      <w:pPr>
        <w:spacing w:after="80" w:line="276" w:lineRule="auto"/>
      </w:pPr>
      <w:r>
        <w:t>The primary objective of this study was to construct an interpretable, exploratory predictive model of university student burnout by integrating supervised machine learning with reflexive qualitative analysis. Moving beyond traditional, isolated statistical methods, this research deployed Explainable AI (SHAP) to unpack the algorithmic logic and triangulated these mathematical findings with human lived experiences. The results offer informative insights into the patterns of academic exhaustion, particularly within the high-stakes educational environment of Bangladesh.</w:t>
      </w:r>
    </w:p>
    <w:p>
      <w:pPr>
        <w:pStyle w:val="Heading3"/>
        <w:spacing w:before="200" w:after="60"/>
      </w:pPr>
      <w:r>
        <w:rPr>
          <w:color w:val="047857"/>
        </w:rPr>
        <w:t>9.7 Predictive Modeling and Algorithm Selection</w:t>
      </w:r>
    </w:p>
    <w:p>
      <w:pPr>
        <w:spacing w:after="80" w:line="276" w:lineRule="auto"/>
      </w:pPr>
      <w:r>
        <w:t>The machine learning pipeline demonstrated that burnout can be modeled as a predictable psychometric outcome using behavioral and psychological survey features. The Random Forest classifier achieved the highest overall accuracy (65.89%, ROC-AUC = 0.7126), while the Soft Voting Ensemble achieved matching top predictive performance (65.89% Accuracy, ROC-AUC = 0.7069, F1 = 0.5514). Crucially, LightGBM achieved the highest recall (0.5059) among individual classifiers for high-risk burnout detection under default thresholding.</w:t>
      </w:r>
    </w:p>
    <w:p>
      <w:pPr>
        <w:spacing w:after="80" w:line="276" w:lineRule="auto"/>
      </w:pPr>
      <w:r>
        <w:t>These metrics are noteworthy for survey-based prediction in educational psychology. Unlike clinical or laboratory settings with rigid biomedical sensors, primary self-reported psychometric data contains inherent subjective human variability and behavioral noise [90]. Consequently, a 10-fold cross-validated accuracy of 65.89% with an ROC-AUC of 0.7126 represents a modest, leak-free real-world exploratory screening baseline (~8.3 percentage points above the 57.57% majority baseline). An ROC-AUC of 0.71 provides an acceptable and statistically meaningful predictive signal, confirming that academic burnout is associated with identifiable non-linear patterns in the behavioral feature space.</w:t>
      </w:r>
    </w:p>
    <w:p>
      <w:pPr>
        <w:spacing w:after="80" w:line="276" w:lineRule="auto"/>
      </w:pPr>
      <w:r>
        <w:rPr>
          <w:i/>
        </w:rPr>
        <w:t>Model Parsimony, Occam's Razor, and Baseline Equivalence:</w:t>
      </w:r>
      <w:r>
        <w:t xml:space="preserve"> Pairwise McNemar hypothesis testing (Table 3, Section 6) revealed that the performance difference between Random Forest (Accuracy = 65.89%, F1 = 0.5199) and standard Logistic Regression (Accuracy = 64.39%, F1 = 0.5348) was not statistically significant ($\chi^2 = 0.51, p = 0.4743$). Likewise, complex gradient-boosted models (CatBoost 65.06%, $p = 0.6350$) did not significantly outperform Logistic Regression. Evaluated under the principle of parsimony (Occam's razor), this finding highlights two important practical considerations:</w:t>
      </w:r>
    </w:p>
    <w:p>
      <w:pPr>
        <w:spacing w:after="80" w:line="276" w:lineRule="auto"/>
      </w:pPr>
      <w:r>
        <w:t xml:space="preserve">1. </w:t>
      </w:r>
      <w:r>
        <w:rPr>
          <w:i/>
        </w:rPr>
        <w:t>Pragmatic Deployment Baseline:</w:t>
      </w:r>
      <w:r>
        <w:t xml:space="preserve"> For resource-constrained university registrar systems or mobile wellness applications requiring real-time scoring without non-linear ensemble dependencies, regularized Logistic Regression serves as a statistically comparable, highly efficient baseline algorithm.</w:t>
      </w:r>
    </w:p>
    <w:p>
      <w:pPr>
        <w:spacing w:after="80" w:line="276" w:lineRule="auto"/>
      </w:pPr>
      <w:r>
        <w:t xml:space="preserve">2. </w:t>
      </w:r>
      <w:r>
        <w:rPr>
          <w:i/>
        </w:rPr>
        <w:t>Rationale for Non-Linear Ensembles &amp; SHAP:</w:t>
      </w:r>
      <w:r>
        <w:t xml:space="preserve"> Despite global accuracy equivalence, tree-based ensembles (Random Forest) remain essential for two key analytical functions: (a) capturing non-monotonic interaction split-points (e.g., non-linear risk escalation above specific screen-to-sleep ratios) without requiring manual polynomial specification in a linear model, and (b) enabling scale-invariant non-parametric SHAP feature attributions that remain mathematically robust under correlated composite features (Section 5.4). Benchmarking multiple classifiers thus serves as an empirical verification step proving that non-linear models maintain competitive generalization without overfitting on noisy self-report data.</w:t>
      </w:r>
    </w:p>
    <w:p>
      <w:pPr>
        <w:pStyle w:val="Heading3"/>
        <w:spacing w:before="200" w:after="60"/>
      </w:pPr>
      <w:r>
        <w:rPr>
          <w:color w:val="047857"/>
        </w:rPr>
        <w:t>9.8 Deconstructing Burnout in the JD-R Model Context</w:t>
      </w:r>
    </w:p>
    <w:p>
      <w:pPr>
        <w:spacing w:after="80" w:line="276" w:lineRule="auto"/>
      </w:pPr>
      <w:r>
        <w:t>The findings fundamentally validate and expand upon the Job Demands-Resources (JD-R) model [34] within an academic context. The JD-R model posits that exhaustion occurs when structural "demands" overwhelm available "resources."</w:t>
      </w:r>
    </w:p>
    <w:p>
      <w:pPr>
        <w:spacing w:after="80" w:line="276" w:lineRule="auto"/>
      </w:pPr>
      <w:r>
        <w:t>Our SHAP analysis and qualitative interviews identified three primary vectors of demand associated with burnout:</w:t>
      </w:r>
    </w:p>
    <w:p>
      <w:pPr>
        <w:spacing w:after="80" w:line="276" w:lineRule="auto"/>
      </w:pPr>
      <w:r>
        <w:t>1. The Primacy of Academic Performance (CGPA): In contrast to studies conducted in Western contexts where part-time employment or social isolation are primary stressors [14], our XAI model identified Academic Performance Index (Mean |SHAP| = 0.0388) and CGPA Midpoint (Mean |SHAP| = 0.0362) as the absolute strongest predictors of burnout. The qualitative data contextualized this: in developing economies like Bangladesh, academic performance is inextricably linked to future economic survival. The intense pressure to secure a high CGPA, or the despair of having a low one (particularly for National University students facing institutional stigma), constitutes a massive psychological demand.</w:t>
      </w:r>
    </w:p>
    <w:p>
      <w:pPr>
        <w:spacing w:after="80" w:line="276" w:lineRule="auto"/>
      </w:pPr>
      <w:r>
        <w:t>2. The Digital Fatigue Paradox: Historically, leisure activities were considered "resources" that mitigate stress. However, the present findings suggest that unstructured social media consumption may function as a "demand" rather than a resource. Ranked among the top critical predictors by SHAP, the qualitative interviews revealed that students use social media as an escapist coping mechanism for academic stress (often exceeding 5 hours daily). Rather than providing recovery, this digital usage displaces sleep duration and study time, ultimately exacerbating the original stress and co-occurring with burnout.</w:t>
      </w:r>
    </w:p>
    <w:p>
      <w:pPr>
        <w:spacing w:after="80" w:line="276" w:lineRule="auto"/>
      </w:pPr>
      <w:r>
        <w:t>3. Biological Collapse (Sleep Deprivation): Sleep hours and sleep quality emerged as highly significant predictive features. The triangulation pipeline demonstrated the apparent behavioral pattern: academic anxiety leads to digital escapism, which severely restricts sleep duration (often to 5-6 hours). This chronic biological deprivation leaves the student unequipped to handle the subsequent day's academic demands, locking them into a self-perpetuating burnout cycle.</w:t>
      </w:r>
    </w:p>
    <w:p>
      <w:pPr>
        <w:pStyle w:val="Heading3"/>
        <w:spacing w:before="200" w:after="60"/>
      </w:pPr>
      <w:r>
        <w:rPr>
          <w:color w:val="047857"/>
        </w:rPr>
        <w:t>9.9 Methodological Contributions</w:t>
      </w:r>
    </w:p>
    <w:p>
      <w:pPr>
        <w:spacing w:after="80" w:line="276" w:lineRule="auto"/>
      </w:pPr>
      <w:r>
        <w:t>A notable contribution of this research is methodological. Educational psychology has long relied on either purely quantitative linear statistics (which fail to capture complex variable interactions) or purely qualitative interviews (which lack predictive scalability).</w:t>
      </w:r>
    </w:p>
    <w:p>
      <w:pPr>
        <w:spacing w:after="80" w:line="276" w:lineRule="auto"/>
      </w:pPr>
      <w:r>
        <w:t>By employing an explanatory sequential mixed-methods design (QUAN → QUAL) that merges Machine Learning, Explainable AI (SHAP), and Thematic Analysis, this study demonstrates a promising analytical approach. The results suggest that algorithms can capture meaningful predictive signals about psychological states, XAI can extract the theoretical hierarchy driving those predictions, and qualitative research can provide the indispensable human context explaining why that hierarchy exists. This triangulated framework helps interpret algorithmic outputs, making advanced computational models actionable and interpretable for mental health professionals and university administrators.</w:t>
      </w:r>
    </w:p>
    <w:p>
      <w:pPr>
        <w:pStyle w:val="Heading3"/>
        <w:spacing w:before="200" w:after="60"/>
      </w:pPr>
      <w:r>
        <w:rPr>
          <w:color w:val="047857"/>
        </w:rPr>
        <w:t>9.10 Methodological Limitations and Future Directions</w:t>
      </w:r>
    </w:p>
    <w:p>
      <w:pPr>
        <w:pStyle w:val="Heading4"/>
        <w:spacing w:before="160" w:after="40"/>
      </w:pPr>
      <w:r>
        <w:t>9.10.1 Methodological Limitations</w:t>
      </w:r>
    </w:p>
    <w:p>
      <w:pPr>
        <w:spacing w:after="80" w:line="276" w:lineRule="auto"/>
      </w:pPr>
      <w:r>
        <w:t>1. Cross-Sectional Design: The quantitative data (N = 601) was collected cross-sectionally. While the machine learning algorithms identified powerful predictive patterns and the qualitative interviews suggested causal pathways (e.g., social media disrupting sleep), a cross-sectional design fundamentally restricts the ability to establish causality. It remains theoretically possible, for instance, that severe burnout causes an increase in social media consumption, rather than the reverse.</w:t>
      </w:r>
    </w:p>
    <w:p>
      <w:pPr>
        <w:spacing w:after="80" w:line="276" w:lineRule="auto"/>
      </w:pPr>
      <w:r>
        <w:t>2. Self-Report Bias: Both the quantitative survey and the qualitative interviews relied entirely on self-reported metrics. Variables such as `study_hours_numeric` and `sleep_hours_numeric` are subject to recall bias.</w:t>
      </w:r>
    </w:p>
    <w:p>
      <w:pPr>
        <w:spacing w:after="80" w:line="276" w:lineRule="auto"/>
      </w:pPr>
      <w:r>
        <w:t>3. Unmeasured Macro-Environmental Factors: The machine learning models were trained on specific academic and behavioral metrics. However, they naturally exclude broader socio-economic and environmental realities unique to Bangladesh. Factors such as extreme traffic congestion (which severely drains daily energy), sudden political instability, university closures, natural disasters, and recent economic inflation were not quantified in the survey [91, 106]. These "natural" external stressors likely play a massive, hidden role in the high burnout rates, particularly in Dhaka, which the current algorithm cannot account for.</w:t>
      </w:r>
    </w:p>
    <w:p>
      <w:pPr>
        <w:spacing w:after="80" w:line="276" w:lineRule="auto"/>
      </w:pPr>
      <w:r>
        <w:t>4. Modest Statistical Predictive Signal &amp; Threshold Trade-offs: The best-performing Random Forest model achieved an accuracy of 65.89% (~8.3 percentage points above the 57.57% majority baseline) and ROC-AUC of 0.7126, with a default threshold recall of 43.53%. While statistically meaningful, these findings emphasize that cross-sectional self-report survey data yield a modest exploratory screening signal rather than a diagnostic decision boundary. Sensitivity tuning ($th = 0.38$, Recall = 71.76%) increases case capture but lowers specificity (56.07%), highlighting that algorithmic risk stratification must function strictly as a non-binding decision-support indicator supported by human clinical judgment.</w:t>
      </w:r>
    </w:p>
    <w:p>
      <w:pPr>
        <w:spacing w:after="80" w:line="276" w:lineRule="auto"/>
      </w:pPr>
      <w:r>
        <w:t>5. Construct Redundancy and Self-Report Overlap: Engineered composite features (`academic_performance_index` r = -0.246, `cgpa_midpoint` r = -0.265, `screen_to_sleep_ratio` r = 0.219, `wellbeing_buffer` r = -0.183, `burnout_vulnerability_index` r = 0.152) aggregate correlated self-report survey items. These modest-to-moderate correlations reflect theoretical construct overlap consistent with JD-R and COR frameworks rather than direct target proxy leakage or circularity. Future studies should incorporate objective physiological indicators (wearable heart rate variability, actigraphy sleep metrics) to supplement self-report instruments.</w:t>
      </w:r>
    </w:p>
    <w:p>
      <w:pPr>
        <w:spacing w:after="80" w:line="276" w:lineRule="auto"/>
      </w:pPr>
      <w:r>
        <w:t>6. Reflexivity and Author Dual-Role Limitation: The primary author led survey collection, ML pipeline construction, and qualitative coding. Although temporal separation (open qualitative coding completed before SHAP execution) and a 25% independent inter-rater check (Cohen's κ = 0.82) were enforced, fully eliminating researcher reflexivity remains challenging in single-primary-investigator mixed-methods designs.</w:t>
      </w:r>
    </w:p>
    <w:p>
      <w:pPr>
        <w:spacing w:after="80" w:line="276" w:lineRule="auto"/>
      </w:pPr>
      <w:r>
        <w:t>7. Sample Size and Need for External Multi-Center Validation: The sample (N = 601) is modest for training complex ML architectures. Although 10-fold stratified cross-validation ensured robust out-of-fold generalization estimates and cross-subgroup pseudo-external validation confirmed stability across academic degree levels (Section 6.5, Bachelor's vs. Master's/PhD/Diploma cohorts), true geographically-independent external validation on multi-center cohorts remains essential. Following TRIPOD guidelines [30, 114], future multi-institutional studies should evaluate external generalizability across independent geographical cohorts in South Asia and beyond. Additionally, the cohort was restricted to Bangladeshi universities, so specific institutional dynamics — such as the stigma associated with the National University system — may not directly transfer to Western higher education settings.</w:t>
      </w:r>
    </w:p>
    <w:p>
      <w:pPr>
        <w:pStyle w:val="Heading4"/>
        <w:spacing w:before="160" w:after="40"/>
      </w:pPr>
      <w:r>
        <w:t>9.10.2 Directions for Future Research</w:t>
      </w:r>
    </w:p>
    <w:p>
      <w:pPr>
        <w:spacing w:after="80" w:line="276" w:lineRule="auto"/>
      </w:pPr>
      <w:r>
        <w:t>1. Longitudinal and Sensor-Based Data: Future studies should pivot from cross-sectional surveys to longitudinal monitoring. Utilizing wearable fitness trackers to capture objective sleep architecture and screen-time monitoring applications to capture precise digital consumption would eliminate self-report bias and provide higher-fidelity inputs for deep learning models.</w:t>
      </w:r>
    </w:p>
    <w:p>
      <w:pPr>
        <w:spacing w:after="80" w:line="276" w:lineRule="auto"/>
      </w:pPr>
      <w:r>
        <w:t>2. Multi-Center External Validation and Cross-Cultural Portability: While 10-fold cross-validation and cross-subgroup pseudo-external validation (Section 6.5) demonstrated model stability across academic degree tiers, future investigations should validate this model across independent multi-center university cohorts across South Asia and internationally to evaluate the cross-cultural portability of engineered feature indices.</w:t>
      </w:r>
    </w:p>
    <w:p>
      <w:pPr>
        <w:spacing w:after="80" w:line="276" w:lineRule="auto"/>
      </w:pPr>
      <w:r>
        <w:t>3. Interventional Studies: The ultimate goal of educational data mining is actionable intervention. Future work should deploy the identified SHAP hierarchy (targeting CGPA anxiety and sleep hygiene) to design specific, algorithm-informed psychotherapeutic interventions within university counseling centers, followed by randomized control trials to measure their efficacy in reducing systemic burnout.</w:t>
      </w:r>
    </w:p>
    <w:p>
      <w:pPr>
        <w:pStyle w:val="Heading2"/>
        <w:spacing w:before="240" w:after="80"/>
      </w:pPr>
      <w:r>
        <w:rPr>
          <w:color w:val="1E3A8A"/>
        </w:rPr>
        <w:t>10. Conclusion and Policy Recommendations</w:t>
      </w:r>
    </w:p>
    <w:p>
      <w:pPr>
        <w:spacing w:after="80" w:line="276" w:lineRule="auto"/>
      </w:pPr>
      <w:r>
        <w:t>Academic burnout among university students is rapidly evolving into a systemic public health crisis, yet traditional diagnostic frameworks remain constrained by linear statistics and isolated methodological silos. This study sought to address these limitations by employing an explanatory sequential mixed-methods design (QUAN → QUAL) that combined quantitative ML-based prediction with systematic qualitative inquiry.</w:t>
      </w:r>
    </w:p>
    <w:p>
      <w:pPr>
        <w:spacing w:after="80" w:line="276" w:lineRule="auto"/>
      </w:pPr>
      <w:r>
        <w:t>By training ten distinct supervised machine learning algorithms on primary psychometric survey data ($N = 601$), this research demonstrated a modest but statistically meaningful predictive signal for student burnout. The Random Forest and Soft Voting ensembles demonstrated moderate predictive capacity on complex, non-linear psychological data, achieving a cross-validated accuracy of 65.89% (ROC-AUC = 0.7126) and 65.89% (ROC-AUC = 0.7069) respectively on inherently noisy self-report data.</w:t>
      </w:r>
    </w:p>
    <w:p>
      <w:pPr>
        <w:spacing w:after="80" w:line="276" w:lineRule="auto"/>
      </w:pPr>
      <w:r>
        <w:t>However, prediction alone is insufficient for intervention. The deployment of Explainable AI (SHAP) helped interpret the algorithmic outputs, yielding a feature importance hierarchy of burnout-related variables. The SHAP analysis indicated that demographic traits such as age or gender contributed relatively little to prediction. Instead, the analysis highlighted CGPA pressure, depression, unstructured social media consumption, and sleep deprivation as the mathematical epicenter of academic exhaustion.</w:t>
      </w:r>
    </w:p>
    <w:p>
      <w:pPr>
        <w:spacing w:after="80" w:line="276" w:lineRule="auto"/>
      </w:pPr>
      <w:r>
        <w:t>The subsequent thematic analysis of 20 in-depth qualitative interviews successfully humanized this computational hierarchy. The qualitative stream showed strong convergence with the SHAP values, revealing an apparent behavioral pattern: students crippled by extreme career anxiety (CGPA/Institutional stigma) utilize excessive social media (often exceeding 5 hours daily) as a maladaptive escape mechanism, which consequently destroys their sleep architecture and ensures severe, chronic burnout. Notably, the qualitative analysis also uncovered a novel "low-pressure burnout" phenomenon among National University students, where exhaustion is driven purely by institutional marginalization and future despair rather than heavy coursework.</w:t>
      </w:r>
    </w:p>
    <w:p>
      <w:pPr>
        <w:spacing w:after="80" w:line="276" w:lineRule="auto"/>
      </w:pPr>
      <w:r>
        <w:t>Ultimately, this study contributes a contextualized, data-driven adaptation of the JD-R framework to the existing burnout literature. It suggests that algorithms can identify meaningful predictive patterns, but human context is essential for intervention design. As universities grapple with escalating mental health crises, the following evidence-based policy recommendations are offered.</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 xml:space="preserve">1. </w:t>
      </w:r>
      <w:r>
        <w:rPr>
          <w:b/>
        </w:rPr>
        <w:t>Implement Sleep Hygiene and Digital Wellness Programs.</w:t>
      </w:r>
      <w:r>
        <w:t xml:space="preserve">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 xml:space="preserve">2. </w:t>
      </w:r>
      <w:r>
        <w:rPr>
          <w:b/>
        </w:rPr>
        <w:t>Deploy CGPA-Triggered Voluntary Counseling &amp; Mentoring Protocols.</w:t>
      </w:r>
      <w:r>
        <w:t xml:space="preserve">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 xml:space="preserve">3. </w:t>
      </w:r>
      <w:r>
        <w:rPr>
          <w:b/>
        </w:rPr>
        <w:t>Develop Dedicated Support Programs for National University Students.</w:t>
      </w:r>
      <w:r>
        <w:t xml:space="preserve">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 xml:space="preserve">4. </w:t>
      </w:r>
      <w:r>
        <w:rPr>
          <w:b/>
        </w:rPr>
        <w:t>Calibrate Algorithmic Early-Warning Thresholds for Voluntary Triage.</w:t>
      </w:r>
      <w:r>
        <w:t xml:space="preserv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w:t>
      </w:r>
      <w:r>
        <w:rPr>
          <w:i/>
        </w:rPr>
        <w:t>preliminary, non-binding decision-support indicator</w:t>
      </w:r>
      <w:r>
        <w:t>, not a clinical diagnosis or automated mandatory action trigger.</w:t>
      </w:r>
    </w:p>
    <w:p>
      <w:pPr>
        <w:spacing w:after="80" w:line="276" w:lineRule="auto"/>
      </w:pPr>
      <w:r>
        <w:t xml:space="preserve">5. </w:t>
      </w:r>
      <w:r>
        <w:rPr>
          <w:b/>
        </w:rPr>
        <w:t>Pilot an Ethics-Compliant Algorithmic Early-Warning Dashboard.</w:t>
      </w:r>
      <w:r>
        <w:t xml:space="preserve">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Declarations &amp; Statements</w:t>
      </w:r>
    </w:p>
    <w:p>
      <w:pPr>
        <w:spacing w:after="80" w:line="276" w:lineRule="auto"/>
      </w:pPr>
      <w:r>
        <w:t>Ethics Approval and Consent to Participate</w:t>
      </w:r>
    </w:p>
    <w:p>
      <w:pPr>
        <w:spacing w:after="80" w:line="276" w:lineRule="auto"/>
      </w:pPr>
      <w:r>
        <w:t>This study was conducted in accordance with the ethical principles outlined in the Declaration of Helsinki for research involving human subjects. Because the research involved an observational, non-invasive cross-sectional survey and voluntary qualitative interviews with adult university students (aged 18 years or older) carrying minimal psychological risk, participation was strictly voluntary. Formal institutional ethics committee review was exempt under institutional guidelines for minimal-risk educational surveys. Informed electronic consent was explicitly obtained from all respondents prior to survey participation and qualitative interviewing. Full anonymity was strictly maintained across all published data and quotes using standardized pseudonyms, and de-identified data were stored securely.</w:t>
      </w:r>
    </w:p>
    <w:p>
      <w:pPr>
        <w:spacing w:after="80" w:line="276" w:lineRule="auto"/>
      </w:pPr>
      <w:r>
        <w:t>Consent for Publication</w:t>
      </w:r>
    </w:p>
    <w:p>
      <w:pPr>
        <w:spacing w:after="80" w:line="276" w:lineRule="auto"/>
      </w:pPr>
      <w:r>
        <w:t>All participants granted explicit consent for anonymized statistical data and verbatim qualitative quotes to be published in peer-reviewed scientific journals.</w:t>
      </w:r>
    </w:p>
    <w:p>
      <w:pPr>
        <w:spacing w:after="80" w:line="276" w:lineRule="auto"/>
      </w:pPr>
      <w:r>
        <w:t>Availability of Data and Materials</w:t>
      </w:r>
    </w:p>
    <w:p>
      <w:pPr>
        <w:spacing w:after="80" w:line="276" w:lineRule="auto"/>
      </w:pPr>
      <w:r>
        <w:t>The complete de-identified quantitative survey dataset (`Quantitative_Survey_Data.xlsx`), anonymized qualitative interview codebook and transcript excerpt table (`Qualitative_Interview_Transcripts_Anonymized.pdf`), modular feature engineering script (`feature_engineering.py`), machine learning training script (`train_ml.py`), SHAP evaluation pipeline (`run_shap.py`), exact runtime dependency manifest (`requirements.txt`), and manuscript source (`Manuscript_Student_Burnout.md`) used in this study are publicly deposited and freely available in an open-access GitHub repository at: `https://github.com/rifatmiah92/student-burnout-ml-mixed-methods`.</w:t>
      </w:r>
    </w:p>
    <w:p>
      <w:pPr>
        <w:spacing w:after="80" w:line="276" w:lineRule="auto"/>
      </w:pPr>
      <w: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spacing w:after="80" w:line="276" w:lineRule="auto"/>
      </w:pPr>
      <w:r>
        <w:t>Funding Statement</w:t>
      </w:r>
    </w:p>
    <w:p>
      <w:pPr>
        <w:spacing w:after="80" w:line="276" w:lineRule="auto"/>
      </w:pPr>
      <w:r>
        <w:t>This research received no specific grant or financial support from any funding agency in the public, commercial, or not-for-profit sectors.</w:t>
      </w:r>
    </w:p>
    <w:p>
      <w:pPr>
        <w:spacing w:after="80" w:line="276" w:lineRule="auto"/>
      </w:pPr>
      <w: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2"/>
        <w:spacing w:before="240" w:after="80"/>
      </w:pPr>
      <w:r>
        <w:rPr>
          <w:color w:val="1E3A8A"/>
        </w:rPr>
        <w:t>References</w:t>
      </w:r>
    </w:p>
    <w:p>
      <w:pPr>
        <w:spacing w:after="80" w:line="276" w:lineRule="auto"/>
      </w:pPr>
      <w:r>
        <w:t>[1] Madigan, D. J., &amp; Curran, T. (2021). Does burnout affect academic achievement? A meta-analysis of over 100,000 students. Educational Psychology Review, 33(2), 387-405.</w:t>
      </w:r>
    </w:p>
    <w:p>
      <w:pPr>
        <w:spacing w:after="80" w:line="276" w:lineRule="auto"/>
      </w:pPr>
      <w:r>
        <w:t>[2] Maslach, C., &amp; Leiter, M. P. (2016). Understanding the burnout experience: Recent research and its implications for psychiatry. World Psychiatry, 15(2), 103-111. https://doi.org/10.1002/wps.20311</w:t>
      </w:r>
    </w:p>
    <w:p>
      <w:pPr>
        <w:spacing w:after="80" w:line="276" w:lineRule="auto"/>
      </w:pPr>
      <w:r>
        <w:t>[3] Salmela-Aro, K., &amp; Read, S. (2017). Study engagement and burnout profiles among Finnish higher education students. Burnout Research, 7, 21-28.</w:t>
      </w:r>
    </w:p>
    <w:p>
      <w:pPr>
        <w:spacing w:after="80" w:line="276" w:lineRule="auto"/>
      </w:pPr>
      <w:r>
        <w:t>[4] Vizoso, C., Arias-Gundin, O., &amp; Midgley, C. (2019). Coping, academic engagement and performance in university students. Higher Education Research &amp; Development, 38(7), 1515-1529.</w:t>
      </w:r>
    </w:p>
    <w:p>
      <w:pPr>
        <w:spacing w:after="80" w:line="276" w:lineRule="auto"/>
      </w:pPr>
      <w:r>
        <w:t>[5] Maslach, C., Schaufeli, W. B., &amp; Leiter, M. P. (2001). Job burnout. Annual Review of Psychology, 52(1), 397-422. https://doi.org/10.1146/annurev.psych.52.1.397</w:t>
      </w:r>
    </w:p>
    <w:p>
      <w:pPr>
        <w:spacing w:after="80" w:line="276" w:lineRule="auto"/>
      </w:pPr>
      <w:r>
        <w:t>[6] Schaufeli, W. B., Martinez, I. M., Pinto, A. M., Salanova, M., &amp; Bakker, A. B. (2002). Burnout and engagement in university students: A cross-national study. Journal of Cross-Cultural Psychology, 33(5), 464-481. https://doi.org/10.1177/0022022102033005003</w:t>
      </w:r>
    </w:p>
    <w:p>
      <w:pPr>
        <w:spacing w:after="80" w:line="276" w:lineRule="auto"/>
      </w:pPr>
      <w:r>
        <w:t>[7] Frajerman, A., Morvan, Y., Krebs, M. O., Gorwood, P., &amp; Chaumette, B. (2019). Burnout in medical students before residency: A systematic review and meta-analysis. European Psychiatry, 55, 36-42. https://doi.org/10.1016/j.eurpsy.2018.08.006</w:t>
      </w:r>
    </w:p>
    <w:p>
      <w:pPr>
        <w:spacing w:after="80" w:line="276" w:lineRule="auto"/>
      </w:pPr>
      <w:r>
        <w:t>[8] Erschens, R., Keifenheim, K. E., Herrmann-Werner, A., Loda, T., Schwille-Kiuntke, J., Bugaj, T. J., ... &amp; Junne, F. (2019). Professional burnout among medical students. BMC Medical Education, 19(1), 1-10.</w:t>
      </w:r>
    </w:p>
    <w:p>
      <w:pPr>
        <w:spacing w:after="80" w:line="276" w:lineRule="auto"/>
      </w:pPr>
      <w:r>
        <w:t>[9] Almutairi, H., Alsubaiei, A., Abduljawad, S., Alshatti, A., Fekih-Romdhane, F., Husni, M., &amp; Jahrami, H. (2022). Prevalence of burnout in medical students: A systematic review and meta-analysis. International Journal of Social Psychiatry, 68(6), 1157-1170. https://doi.org/10.1177/00207640221087413</w:t>
      </w:r>
    </w:p>
    <w:p>
      <w:pPr>
        <w:spacing w:after="80" w:line="276" w:lineRule="auto"/>
      </w:pPr>
      <w:r>
        <w:t>[10] World Health Organization. (2019). International statistical classification of diseases and related health problems (11th ed.). WHO.</w:t>
      </w:r>
    </w:p>
    <w:p>
      <w:pPr>
        <w:spacing w:after="80" w:line="276" w:lineRule="auto"/>
      </w:pPr>
      <w:r>
        <w:t>[11]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pPr>
      <w:r>
        <w:t>[12] Ahmed, O., Hossain, K. N., &amp; Siddiqui, M. N. (2023). University student mental health in Bangladesh: Challenges and opportunities. Asian Journal of Social Health and Behavior, 6(2), 45-53.</w:t>
      </w:r>
    </w:p>
    <w:p>
      <w:pPr>
        <w:spacing w:after="80" w:line="276" w:lineRule="auto"/>
      </w:pPr>
      <w:r>
        <w:t>[13] Hossain, M. T., Ahammed, B., Chanda, S. K., Jahan, N., Ela, M. Z., &amp; Islam, M. N. (2021). Mental health status of Bangladeshi university students during the COVID-19 pandemic. Journal of Affective Disorders Reports, 4, 100092. https://doi.org/10.1016/j.jadr.2021.100092</w:t>
      </w:r>
    </w:p>
    <w:p>
      <w:pPr>
        <w:spacing w:after="80" w:line="276" w:lineRule="auto"/>
      </w:pPr>
      <w:r>
        <w:t>[14] Faisal, R. A., Jobe, M. C., Ahmed, O., &amp; Sharker, T. (2021). Mental health status, anxiety, and depression levels of Bangladeshi university students during the COVID-19 pandemic. International Journal of Mental Health and Addiction, 20(3), 1500-1515. https://doi.org/10.1007/s11469-020-00458-y</w:t>
      </w:r>
    </w:p>
    <w:p>
      <w:pPr>
        <w:spacing w:after="80" w:line="276" w:lineRule="auto"/>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pPr>
      <w:r>
        <w:t>[16] Manzano-Garcia, G., &amp; Ayala-Calvo, J. C. (2013). New perspectives: Towards an integration of the concept "burnout" and its explanatory models. Anales de Psicologia, 29(3), 800-809. https://doi.org/10.6018/analesps.29.3.161241</w:t>
      </w:r>
    </w:p>
    <w:p>
      <w:pPr>
        <w:spacing w:after="80" w:line="276" w:lineRule="auto"/>
      </w:pPr>
      <w:r>
        <w:t>[17] Hastie, T., Tibshirani, R., &amp; Friedman, J. (2009). The elements of statistical learning: Data mining, inference, and prediction (2nd ed.). Springer.</w:t>
      </w:r>
    </w:p>
    <w:p>
      <w:pPr>
        <w:spacing w:after="80" w:line="276" w:lineRule="auto"/>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pPr>
      <w:r>
        <w:t>[19] Iatrellis, O., Savvas, I. K., Fitsilis, P., &amp; Gerogiannis, V. C. (2021). A two-phase machine learning approach for predicting student outcomes. Education and Information Technologies, 26(1), 69-88.</w:t>
      </w:r>
    </w:p>
    <w:p>
      <w:pPr>
        <w:spacing w:after="80" w:line="276" w:lineRule="auto"/>
      </w:pPr>
      <w:r>
        <w:t>[20] Sharma, B., Lee, C. S., &amp; Kim, Y. (2021). Burnout among students: A systematic review and meta-analysis of behavioral risk factors. Educational Psychology Review, 33(2), 481-505.</w:t>
      </w:r>
    </w:p>
    <w:p>
      <w:pPr>
        <w:spacing w:after="80" w:line="276" w:lineRule="auto"/>
      </w:pPr>
      <w:r>
        <w:t>[21] Steyerberg, E. W., &amp; Harrell, F. E. (2016). Prediction models need appropriate internal, internal-external, and external validation. Journal of Clinical Epidemiology, 69, 245-247. https://doi.org/10.1016/j.jclinepi.2015.04.005</w:t>
      </w:r>
    </w:p>
    <w:p>
      <w:pPr>
        <w:spacing w:after="80" w:line="276" w:lineRule="auto"/>
      </w:pPr>
      <w:r>
        <w:t>[22] Fisher, A., Rudin, C., &amp; Dominici, F. (2019). All models are wrong, but many are useful. Journal of Machine Learning Research, 20(220), 1-81.</w:t>
      </w:r>
    </w:p>
    <w:p>
      <w:pPr>
        <w:spacing w:after="80" w:line="276" w:lineRule="auto"/>
      </w:pPr>
      <w:r>
        <w:t>[23] Gunning, D., Stefik, M., Choi, J., Miller, T., Stumpf, S., &amp; Yang, G. Z. (2019). XAI - Explainable artificial intelligence. Science Robotics, 4(37), eaay7120. https://doi.org/10.1126/scirobotics.aay7120</w:t>
      </w:r>
    </w:p>
    <w:p>
      <w:pPr>
        <w:spacing w:after="80" w:line="276" w:lineRule="auto"/>
      </w:pPr>
      <w:r>
        <w:t>[24] Lundberg, S. M., &amp; Lee, S.-I. (2017). A unified approach to interpreting model predictions. Advances in Neural Information Processing Systems, 30, 4765-4774.</w:t>
      </w:r>
    </w:p>
    <w:p>
      <w:pPr>
        <w:spacing w:after="80" w:line="276" w:lineRule="auto"/>
      </w:pPr>
      <w:r>
        <w:t>[25] Molnar, C. (2022). Interpretable machine learning: A guide for making black box models explainable (2nd ed.). Independently Published.</w:t>
      </w:r>
    </w:p>
    <w:p>
      <w:pPr>
        <w:spacing w:after="80" w:line="276" w:lineRule="auto"/>
      </w:pPr>
      <w:r>
        <w:t>[26] Creswell, J. W., &amp; Plano Clark, V. L. (2018). Designing and conducting mixed methods research (3rd ed.). SAGE Publications.</w:t>
      </w:r>
    </w:p>
    <w:p>
      <w:pPr>
        <w:spacing w:after="80" w:line="276" w:lineRule="auto"/>
      </w:pPr>
      <w:r>
        <w:t>[27] Tashakkori, A., &amp; Teddlie, C. (2010). SAGE handbook of mixed methods in social &amp; behavioral research. SAGE publications.</w:t>
      </w:r>
    </w:p>
    <w:p>
      <w:pPr>
        <w:spacing w:after="80" w:line="276" w:lineRule="auto"/>
      </w:pPr>
      <w:r>
        <w:t>[28] Johnson, R. B., Onwuegbuzie, A. J., &amp; Turner, L. A. (2007). Toward a definition of mixed methods research. Journal of Mixed Methods Research, 1(2), 112-133.</w:t>
      </w:r>
    </w:p>
    <w:p>
      <w:pPr>
        <w:spacing w:after="80" w:line="276" w:lineRule="auto"/>
      </w:pPr>
      <w:r>
        <w:t>[29] Rajkomar, A., Hardt, M., Howell, M. D., Corrado, G., &amp; Kipnis, M. H. (2018). Ensuring fairness in machine learning to advance health equity. Annals of Internal Medicine, 169(12), 866-872.</w:t>
      </w:r>
    </w:p>
    <w:p>
      <w:pPr>
        <w:spacing w:after="80" w:line="276" w:lineRule="auto"/>
      </w:pPr>
      <w:r>
        <w:t>[30] Collins, G. S., Reitsma, J. B., Altman, D. G., &amp; Moons, K. G. (2015). Transparent reporting of a multivariable prediction model for individual prognosis or diagnosis (TRIPOD): The TRIPOD statement. BMJ, 350, g7594.</w:t>
      </w:r>
    </w:p>
    <w:p>
      <w:pPr>
        <w:spacing w:after="80" w:line="276" w:lineRule="auto"/>
      </w:pPr>
      <w:r>
        <w:t>[31] Hobfoll, S. E. (1989). Conservation of resources: A new attempt at conceptualizing stress. American Psychologist, 44(3), 513-524.</w:t>
      </w:r>
    </w:p>
    <w:p>
      <w:pPr>
        <w:spacing w:after="80" w:line="276" w:lineRule="auto"/>
      </w:pPr>
      <w:r>
        <w:t>[32] Salmela-Aro, K., &amp; Upadyaya, K. (2014). School burnout and engagement in the context of demands-resources model. British Journal of Educational Psychology, 84(1), 137-151.</w:t>
      </w:r>
    </w:p>
    <w:p>
      <w:pPr>
        <w:spacing w:after="80" w:line="276" w:lineRule="auto"/>
      </w:pPr>
      <w:r>
        <w:t>[33] Hobfoll, S. E., Halbesleben, J., Neveu, J. P., &amp; Westman, M. (2018). Conservation of resources in the organizational context: The reality of resources and their consequences. Annual Review of Organizational Psychology and Organizational Behavior, 5, 103-128.</w:t>
      </w:r>
    </w:p>
    <w:p>
      <w:pPr>
        <w:spacing w:after="80" w:line="276" w:lineRule="auto"/>
      </w:pPr>
      <w:r>
        <w:t>[34] Bakker, A. B., &amp; Demerouti, E. (2007). The job demands-resources model: State of the art. Journal of Managerial Psychology, 22(3), 309-328.</w:t>
      </w:r>
    </w:p>
    <w:p>
      <w:pPr>
        <w:spacing w:after="80" w:line="276" w:lineRule="auto"/>
      </w:pPr>
      <w:r>
        <w:t>[35] Bakker, A. B., &amp; Demerouti, E. (2017). Job demands-resources theory: Taking stock and looking forward. Journal of Occupational Health Psychology, 22(3), 273-285. https://doi.org/10.1037/ocp0000056</w:t>
      </w:r>
    </w:p>
    <w:p>
      <w:pPr>
        <w:spacing w:after="80" w:line="276" w:lineRule="auto"/>
      </w:pPr>
      <w:r>
        <w:t>[36] Ryan, R. M., &amp; Deci, E. L. (2017). Self-determination theory: Basic psychological needs in motivation, development, and wellness. Guilford Publications.</w:t>
      </w:r>
    </w:p>
    <w:p>
      <w:pPr>
        <w:spacing w:after="80" w:line="276" w:lineRule="auto"/>
      </w:pPr>
      <w:r>
        <w:t>[37] Denzin, N. K. (1978). The research act: A theoretical introduction to sociological methods (2nd ed.). McGraw-Hill.</w:t>
      </w:r>
    </w:p>
    <w:p>
      <w:pPr>
        <w:spacing w:after="80" w:line="276" w:lineRule="auto"/>
      </w:pPr>
      <w:r>
        <w:t>[38] Freudenberger, H. J. (1974). Staff burn-out. Journal of Social Issues, 30(1), 159-165.</w:t>
      </w:r>
    </w:p>
    <w:p>
      <w:pPr>
        <w:spacing w:after="80" w:line="276" w:lineRule="auto"/>
      </w:pPr>
      <w:r>
        <w:t>[39] Maslach, C., &amp; Jackson, S. E. (1981). The measurement of experienced burnout. Journal of Occupational Behavior, 2(2), 99-113.</w:t>
      </w:r>
    </w:p>
    <w:p>
      <w:pPr>
        <w:spacing w:after="80" w:line="276" w:lineRule="auto"/>
      </w:pPr>
      <w:r>
        <w:t>[40] Schaufeli, W. B., Bakker, A. B., &amp; Van Rhenen, W. (2009). How changes in job demands and resources predict burnout, work engagement, and sickness absenteeism. Journal of Organizational Behavior, 30(7), 893-917. https://doi.org/10.1002/job.595</w:t>
      </w:r>
    </w:p>
    <w:p>
      <w:pPr>
        <w:spacing w:after="80" w:line="276" w:lineRule="auto"/>
      </w:pPr>
      <w:r>
        <w:t>[41] Fazullina, G., Sagitova, R., &amp; Khakimova, R. (2020). Burnout syndrome among university students. Revista Inclusiones, 7, 223-233.</w:t>
      </w:r>
    </w:p>
    <w:p>
      <w:pPr>
        <w:spacing w:after="80" w:line="276" w:lineRule="auto"/>
      </w:pPr>
      <w:r>
        <w:t>[42] Robins, T. G., Roberts, R. M., &amp; Sarris, A. (2018). Burnout and engagement in health profession students. Nurse Education Today, 69, 100-104.</w:t>
      </w:r>
    </w:p>
    <w:p>
      <w:pPr>
        <w:spacing w:after="80" w:line="276" w:lineRule="auto"/>
      </w:pPr>
      <w:r>
        <w:t>[43]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pPr>
      <w:r>
        <w:t>[44] Lin, S. H., &amp; Huang, Y. C. (2014). Life stress and academic burnout. Active Learning in Higher Education, 15(1), 77-90.</w:t>
      </w:r>
    </w:p>
    <w:p>
      <w:pPr>
        <w:spacing w:after="80" w:line="276" w:lineRule="auto"/>
      </w:pPr>
      <w:r>
        <w:t>[45] Walburg, V. (2014). Burnout among high school students: A literature review. Children and Youth Services Review, 42, 28-33.</w:t>
      </w:r>
    </w:p>
    <w:p>
      <w:pPr>
        <w:spacing w:after="80" w:line="276" w:lineRule="auto"/>
      </w:pPr>
      <w:r>
        <w:t>[46] Koutsimani, P., Montgomery, A., &amp; Georganta, K. (2019). The relationship between burnout, depression, and anxiety: A systematic review and meta-analysis. Frontiers in Psychology, 10, 284. https://doi.org/10.3389/fpsyg.2019.00284</w:t>
      </w:r>
    </w:p>
    <w:p>
      <w:pPr>
        <w:spacing w:after="80" w:line="276" w:lineRule="auto"/>
      </w:pPr>
      <w:r>
        <w:t>[47] Riaz, M., Ali, M., &amp; Tariq, A. (2021). Psychological burden and coping strategies among university students during times of systemic crisis. International Journal of Mental Health Systems, 15(1), 1-9.</w:t>
      </w:r>
    </w:p>
    <w:p>
      <w:pPr>
        <w:spacing w:after="80" w:line="276" w:lineRule="auto"/>
      </w:pPr>
      <w:r>
        <w:t>[48] Shahidi, S., Akbari, H., &amp; Zargar, F. (2023). The role of anxiety sensitivity in academic burnout among university students. Current Psychology, 42(8), 6891-6900.</w:t>
      </w:r>
    </w:p>
    <w:p>
      <w:pPr>
        <w:spacing w:after="80" w:line="276" w:lineRule="auto"/>
      </w:pPr>
      <w:r>
        <w:t>[49] Bianchi, R., Schonfeld, I. S., &amp; Laurent, E. (2015). Burnout-depression overlap: A review. Clinical Psychology Review, 36, 28-41.</w:t>
      </w:r>
    </w:p>
    <w:p>
      <w:pPr>
        <w:spacing w:after="80" w:line="276" w:lineRule="auto"/>
      </w:pPr>
      <w:r>
        <w:t>[50] Alarcon, G., Eschleman, K. J., &amp; Bowling, N. A. (2009). Relationships between personality variables and burnout: A meta-analysis. Work &amp; Stress, 23(3), 244-263.</w:t>
      </w:r>
    </w:p>
    <w:p>
      <w:pPr>
        <w:spacing w:after="80" w:line="276" w:lineRule="auto"/>
      </w:pPr>
      <w:r>
        <w:t>[51] Rahmati, Z. (2015). The study of academic burnout in students with high and low self-efficacy. Procedia - Social and Behavioral Sciences, 171, 49-55.</w:t>
      </w:r>
    </w:p>
    <w:p>
      <w:pPr>
        <w:spacing w:after="80" w:line="276" w:lineRule="auto"/>
      </w:pPr>
      <w:r>
        <w:t>[52] Jackson, E. R., Shanafelt, T. D., Hasan, O., Satele, D. V., &amp; Dyrbye, L. N. (2016). Burnout and alcohol abuse/dependence among US medical students. Academic Medicine, 91(9), 1251-1256.</w:t>
      </w:r>
    </w:p>
    <w:p>
      <w:pPr>
        <w:spacing w:after="80" w:line="276" w:lineRule="auto"/>
      </w:pPr>
      <w:r>
        <w:t>[53] Dyrbye, L. N., Thomas, M. R., Massie, F. S., Power, D. V., Eacker, A., Harper, W., ... &amp; Shanafelt, T. D. (2008). Burnout and suicidal ideation among US medical students. Annals of Internal Medicine, 149(5), 334-341.</w:t>
      </w:r>
    </w:p>
    <w:p>
      <w:pPr>
        <w:spacing w:after="80" w:line="276" w:lineRule="auto"/>
      </w:pPr>
      <w:r>
        <w:t>[54] Dahlin, M. E., &amp; Runeson, B. (2007). Burnout and psychiatric morbidity among medical students entering clinical training. BMC Medical Education, 7(1), 1-8.</w:t>
      </w:r>
    </w:p>
    <w:p>
      <w:pPr>
        <w:spacing w:after="80" w:line="276" w:lineRule="auto"/>
      </w:pPr>
      <w:r>
        <w:t>[55] Celik, E., &amp; Yildirim, T. (2022). Academic burnout among Turkish university students during the COVID-19 pandemic. International Journal of Educational Research Open, 3, 100147.</w:t>
      </w:r>
    </w:p>
    <w:p>
      <w:pPr>
        <w:spacing w:after="80" w:line="276" w:lineRule="auto"/>
      </w:pPr>
      <w:r>
        <w:t>[56] Almeida, G. C., Souza, H. R., Almeida, P. C., Almeida, B. C., &amp; Almeida, G. H. (2021). The prevalence of burnout syndrome in medical students. Archives of Clinical Psychiatry, 48(1), 40-47.</w:t>
      </w:r>
    </w:p>
    <w:p>
      <w:pPr>
        <w:spacing w:after="80" w:line="276" w:lineRule="auto"/>
      </w:pPr>
      <w:r>
        <w:t>[57] Silva, R. M. D., Lopes, A. A. F., &amp; Ribeiro, H. K. P. (2022). Burnout syndrome among Brazilian university students. Revista Brasileira de Enfermagem, 75(4), e20210470.</w:t>
      </w:r>
    </w:p>
    <w:p>
      <w:pPr>
        <w:spacing w:after="80" w:line="276" w:lineRule="auto"/>
      </w:pPr>
      <w:r>
        <w:t>[58] Richardson, T., Elliott, P., &amp; Roberts, R. (2017). Relationship between loneliness and mental health in students. Journal of Public Mental Health, 16(2), 48-54.</w:t>
      </w:r>
    </w:p>
    <w:p>
      <w:pPr>
        <w:spacing w:after="80" w:line="276" w:lineRule="auto"/>
      </w:pPr>
      <w:r>
        <w:t>[59] Walsemann, K. M., Gee, G. C., &amp; Gentile, D. (2015). Sick of our loans: Student borrowing and the mental health of young adults in the United States. Social Science &amp; Medicine, 124, 85-93.</w:t>
      </w:r>
    </w:p>
    <w:p>
      <w:pPr>
        <w:spacing w:after="80" w:line="276" w:lineRule="auto"/>
      </w:pPr>
      <w:r>
        <w:t>[60] Bask, M., &amp; Salmela-Aro, K. (2013). Burned out to drop out: Exploring the relationship between school burnout and school dropout. European Journal of Psychology of Education, 28(2), 511-528.</w:t>
      </w:r>
    </w:p>
    <w:p>
      <w:pPr>
        <w:spacing w:after="80" w:line="276" w:lineRule="auto"/>
      </w:pPr>
      <w:r>
        <w:t>[61] Robotham, D., &amp; Julian, C. (2006). Stress and the higher education student: A critical review of the literature. Journal of Further and Higher Education, 30(2), 107-117.</w:t>
      </w:r>
    </w:p>
    <w:p>
      <w:pPr>
        <w:spacing w:after="80" w:line="276" w:lineRule="auto"/>
      </w:pPr>
      <w:r>
        <w:t>[62] Naczenski, L. M., Vries, J. D., van Hooff, M. L., &amp; Kompier, M. A. (2017). Systematic review of the association between physical activity and burnout. Journal of Occupational Health, 59(6), 477-494.</w:t>
      </w:r>
    </w:p>
    <w:p>
      <w:pPr>
        <w:spacing w:after="80" w:line="276" w:lineRule="auto"/>
      </w:pPr>
      <w:r>
        <w:t>[63] Hershner, S. D., &amp; Chervin, R. D. (2014). Causes and consequences of sleepiness among college students. Nature and Science of Sleep, 6, 73-84.</w:t>
      </w:r>
    </w:p>
    <w:p>
      <w:pPr>
        <w:spacing w:after="80" w:line="276" w:lineRule="auto"/>
      </w:pPr>
      <w:r>
        <w:t>[64] Lund, H. G., Reider, B. D., Whiting, A. B., &amp; Prichard, J. R. (2010). Sleep patterns and predictors of disturbed sleep in a large population of college students. Journal of Adolescent Health, 46(2), 124-132.</w:t>
      </w:r>
    </w:p>
    <w:p>
      <w:pPr>
        <w:spacing w:after="80" w:line="276" w:lineRule="auto"/>
      </w:pPr>
      <w:r>
        <w:t>[65] Ahrberg, K., Dresler, M., Niedermaier, S., Steiger, A., &amp; Genzel, L. (2012). The interaction between sleep quality and academic performance. Journal of Psychiatric Research, 46(12), 1618-1622.</w:t>
      </w:r>
    </w:p>
    <w:p>
      <w:pPr>
        <w:spacing w:after="80" w:line="276" w:lineRule="auto"/>
      </w:pPr>
      <w:r>
        <w:t>[66]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pPr>
      <w:r>
        <w:t>[67] Woods, H. C., &amp; Scott, H. (2016). #Sleepyteens: Social media use in adolescence is associated with poor sleep quality, anxiety, depression and low self-esteem. Journal of Adolescence, 51, 41-49.</w:t>
      </w:r>
    </w:p>
    <w:p>
      <w:pPr>
        <w:spacing w:after="80" w:line="276" w:lineRule="auto"/>
      </w:pPr>
      <w:r>
        <w:t>[68] Primack, B. A., Shensa, A., Escobar-Viera, C. G., Barrett, E. L., Sidani, J. E., Colditz, J. B., &amp; James, A. E. (2017). Use of multiple social media platforms and symptoms of depression and anxiety. Computers in Human Behavior, 69, 1-9.</w:t>
      </w:r>
    </w:p>
    <w:p>
      <w:pPr>
        <w:spacing w:after="80" w:line="276" w:lineRule="auto"/>
      </w:pPr>
      <w:r>
        <w:t>[69] Plackett, R., Blythe, A., Copello, A., &amp; Mars, B. (2020). The impact of social media use on adolescent mental health: A structured review. Journal of Adolescent Health, 67(1), 12-21. https://doi.org/10.1016/j.jadohealth.2020.01.015</w:t>
      </w:r>
    </w:p>
    <w:p>
      <w:pPr>
        <w:spacing w:after="80" w:line="276" w:lineRule="auto"/>
      </w:pPr>
      <w:r>
        <w:t>[70]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pPr>
      <w:r>
        <w:t>[71] Kim, B., Jee, S., Lee, J., An, S., &amp; Lee, S. M. (2018). Relationships between social support and student burnout: A meta-analytic approach. Stress and Health, 34(1), 127-134.</w:t>
      </w:r>
    </w:p>
    <w:p>
      <w:pPr>
        <w:spacing w:after="80" w:line="276" w:lineRule="auto"/>
      </w:pPr>
      <w:r>
        <w:t>[72] Baker, R. S. J. D., &amp; Inventado, P. S. (2014). Educational data mining and learning analytics. In Learning analytics (pp. 61-75). Springer.</w:t>
      </w:r>
    </w:p>
    <w:p>
      <w:pPr>
        <w:spacing w:after="80" w:line="276" w:lineRule="auto"/>
      </w:pPr>
      <w:r>
        <w:t>[73] Romero, C., &amp; Ventura, S. (2020). Educational data mining and learning analytics: An updated survey. Wiley Interdisciplinary Reviews: Data Mining and Knowledge Discovery, 10(3), e1355. https://doi.org/10.1002/widm.1355</w:t>
      </w:r>
    </w:p>
    <w:p>
      <w:pPr>
        <w:spacing w:after="80" w:line="276" w:lineRule="auto"/>
      </w:pPr>
      <w:r>
        <w:t>[74] Greenwell, B. M. (2017). pdp: An R package for constructing partial dependence plots. The R Journal, 9(1), 421–436. https://doi.org/10.32614/RJ-2017-016</w:t>
      </w:r>
    </w:p>
    <w:p>
      <w:pPr>
        <w:spacing w:after="80" w:line="276" w:lineRule="auto"/>
      </w:pPr>
      <w:r>
        <w:t>[75] Shahiri, A. M., Husain, W., &amp; Rashid, N. A. (2015). A review on predicting student performance using data mining techniques. Procedia Computer Science, 72, 414-422.</w:t>
      </w:r>
    </w:p>
    <w:p>
      <w:pPr>
        <w:spacing w:after="80" w:line="276" w:lineRule="auto"/>
      </w:pPr>
      <w:r>
        <w:t>[76] Alhazmi, E., &amp; Sheneamer, A. (2023). Early predicting of students performance in higher education. IEEE Access, 11, 27579-27589. https://doi.org/10.1109/ACCESS.2023.3250702</w:t>
      </w:r>
    </w:p>
    <w:p>
      <w:pPr>
        <w:spacing w:after="80" w:line="276" w:lineRule="auto"/>
      </w:pPr>
      <w:r>
        <w:t>[77] Priya, A., Garg, S., &amp; Tigga, N. P. (2020). Predicting anxiety, depression and stress in modern life using machine learning algorithms. Procedia Computer Science, 167, 1258-1267.</w:t>
      </w:r>
    </w:p>
    <w:p>
      <w:pPr>
        <w:spacing w:after="80" w:line="276" w:lineRule="auto"/>
      </w:pPr>
      <w:r>
        <w:t>[78]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pPr>
      <w:r>
        <w:t>[79] Zheng, X., Chen, Y., &amp; Liu, Y. (2021). Machine learning algorithms for predicting depression among university students. Computers in Human Behavior, 120, 106752. https://doi.org/10.1016/j.chb.2021.106752</w:t>
      </w:r>
    </w:p>
    <w:p>
      <w:pPr>
        <w:spacing w:after="80" w:line="276" w:lineRule="auto"/>
      </w:pPr>
      <w:r>
        <w:t>[80] van der Ploeg, T., Austin, P. C., &amp; Steyerberg, E. W. (2014). Modern modelling techniques are data hungry. BMC Medical Research Methodology, 14(1), 1-11.</w:t>
      </w:r>
    </w:p>
    <w:p>
      <w:pPr>
        <w:spacing w:after="80" w:line="276" w:lineRule="auto"/>
      </w:pPr>
      <w:r>
        <w:t>[81] Davis, J., &amp; Goadrich, M. (2006). The relationship between precision-recall and ROC curves. In Proceedings of the 23rd International Conference on Machine Learning (pp. 233-240). ACM.</w:t>
      </w:r>
    </w:p>
    <w:p>
      <w:pPr>
        <w:spacing w:after="80" w:line="276" w:lineRule="auto"/>
      </w:pPr>
      <w:r>
        <w:t>[82] Tsiakmaki, M., Kostopoulos, G., Kotsiantis, S., &amp; Ragos, O. (2020). Implementing AutoML in educational data mining for prediction tasks. Applied Sciences, 10(1), 90.</w:t>
      </w:r>
    </w:p>
    <w:p>
      <w:pPr>
        <w:spacing w:after="80" w:line="276" w:lineRule="auto"/>
      </w:pPr>
      <w:r>
        <w:t>[83]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pPr>
      <w:r>
        <w:t>[84] Breiman, L. (2001). Random forests. Machine Learning, 45(1), 5-32. https://doi.org/10.1023/A:1010933404324</w:t>
      </w:r>
    </w:p>
    <w:p>
      <w:pPr>
        <w:spacing w:after="80" w:line="276" w:lineRule="auto"/>
      </w:pPr>
      <w:r>
        <w:t>[85] Strobl, C., Boulesteix, A. L., Zeileis, A., &amp; Hothorn, T. (2007). Bias in random forest variable importance measures. BMC Bioinformatics, 8(1), 1-21.</w:t>
      </w:r>
    </w:p>
    <w:p>
      <w:pPr>
        <w:spacing w:after="80" w:line="276" w:lineRule="auto"/>
      </w:pPr>
      <w:r>
        <w:t>[86] Nicodemus, K. K., Malley, J. D., Strobl, C., &amp; Ziegler, A. (2010). The behaviour of random forest permutation-based variable importance measures under predictor correlation. BMC Bioinformatics, 11(1), 1-13.</w:t>
      </w:r>
    </w:p>
    <w:p>
      <w:pPr>
        <w:spacing w:after="80" w:line="276" w:lineRule="auto"/>
      </w:pPr>
      <w:r>
        <w:t>[87] Friedman, J. H. (2001). Greedy function approximation: A gradient boosting machine. Annals of Statistics, 29(5), 1189-1232.</w:t>
      </w:r>
    </w:p>
    <w:p>
      <w:pPr>
        <w:spacing w:after="80" w:line="276" w:lineRule="auto"/>
      </w:pPr>
      <w:r>
        <w:t>[88] Hooker, G., Mentch, L., &amp; Zhou, S. (2021). Unrestricted permutation forces extrapolation. Statistics and Computing, 31(5), 1-11.</w:t>
      </w:r>
    </w:p>
    <w:p>
      <w:pPr>
        <w:spacing w:after="80" w:line="276" w:lineRule="auto"/>
      </w:pPr>
      <w:r>
        <w:t>[89]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pPr>
      <w:r>
        <w:t>[90] Sarkar, S., Ray, A., &amp; Sharma, M. (2022). Explainable AI in healthcare and medicine: A systematic review. Journal of Medical Systems, 46(12), 85. https://doi.org/10.1007/s10916-022-01869-7</w:t>
      </w:r>
    </w:p>
    <w:p>
      <w:pPr>
        <w:spacing w:after="80" w:line="276" w:lineRule="auto"/>
      </w:pPr>
      <w:r>
        <w:t>[91] Namoun, A., &amp; Alshanqiti, A. (2021). Predicting student performance using data mining and learning analytics techniques. Applied Sciences, 11(1), 237.</w:t>
      </w:r>
    </w:p>
    <w:p>
      <w:pPr>
        <w:spacing w:after="80" w:line="276" w:lineRule="auto"/>
      </w:pPr>
      <w:r>
        <w:t>[92] Braun, V., &amp; Clarke, V. (2021). One size fits all? What counts as quality practice in (reflexive) thematic analysis? Qualitative Research in Psychology, 18(3), 328-352. https://doi.org/10.1080/14780887.2020.1769238</w:t>
      </w:r>
    </w:p>
    <w:p>
      <w:pPr>
        <w:spacing w:after="80" w:line="276" w:lineRule="auto"/>
      </w:pPr>
      <w:r>
        <w:t>[93] Kristensen, T. S., Borritz, M., Villadsen, E., &amp; Christensen, K. B. (2005). The Copenhagen Burnout Inventory: A new tool for the assessment of burnout. Work &amp; Stress, 19(3), 192-207. https://doi.org/10.1080/02678370500297720</w:t>
      </w:r>
    </w:p>
    <w:p>
      <w:pPr>
        <w:spacing w:after="80" w:line="276" w:lineRule="auto"/>
      </w:pPr>
      <w:r>
        <w:t>[94]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pPr>
      <w:r>
        <w:t>[95] He, H., &amp; Garcia, E. A. (2009). Learning from imbalanced data. IEEE Transactions on Knowledge and Data Engineering, 21(9), 1263-1284. https://doi.org/10.1109/TKDE.2008.239</w:t>
      </w:r>
    </w:p>
    <w:p>
      <w:pPr>
        <w:spacing w:after="80" w:line="276" w:lineRule="auto"/>
      </w:pPr>
      <w:r>
        <w:t>[96] Chen, T., &amp; Guestrin, C. (2016). XGBoost: A scalable tree boosting system. In Proceedings of the 22nd ACM SIGKDD International Conference on Knowledge Discovery and Data Mining (pp. 785-794). ACM. https://doi.org/10.1145/2939672.2939785</w:t>
      </w:r>
    </w:p>
    <w:p>
      <w:pPr>
        <w:spacing w:after="80" w:line="276" w:lineRule="auto"/>
      </w:pPr>
      <w:r>
        <w:t>[97] Prokhorenkova, L., Gusev, G., Vorobev, A., Dorogush, A. V., &amp; Gulin, A. (2018). CatBoost: Unbiased boosting with categorical features. Advances in Neural Information Processing Systems, 31, 6638-6648.</w:t>
      </w:r>
    </w:p>
    <w:p>
      <w:pPr>
        <w:spacing w:after="80" w:line="276" w:lineRule="auto"/>
      </w:pPr>
      <w:r>
        <w:t>[98] Braun, V., &amp; Clarke, V. (2006). Using thematic analysis in psychology. Qualitative Research in Psychology, 3(2), 77-101. https://doi.org/10.1191/1478088706qp063oa</w:t>
      </w:r>
    </w:p>
    <w:p>
      <w:pPr>
        <w:spacing w:after="80" w:line="276" w:lineRule="auto"/>
      </w:pPr>
      <w:r>
        <w:t>[99] Farmer, T., Robinson, K., Elliott, S. J., &amp; Eyles, J. (2006). Developing and implementing a triangulation protocol for qualitative health research. Qualitative Health Research, 16(3), 377-394. https://doi.org/10.1177/1049732305285708</w:t>
      </w:r>
    </w:p>
    <w:p>
      <w:pPr>
        <w:spacing w:after="80" w:line="276" w:lineRule="auto"/>
      </w:pPr>
      <w:r>
        <w:t>[100] Tukey, J. W. (1977). Exploratory data analysis. Addison-Wesley.</w:t>
      </w:r>
    </w:p>
    <w:p>
      <w:pPr>
        <w:spacing w:after="80" w:line="276" w:lineRule="auto"/>
      </w:pPr>
      <w:r>
        <w:t>[101]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pPr>
      <w:r>
        <w:t>[102] Ghasemi, A., &amp; Zahediasl, S. (2012). Normality tests for statistical analysis: A guide for non-statisticians. International Journal of Endocrinology and Metabolism, 10(2), 186-191. https://doi.org/10.5812/ijem.3505</w:t>
      </w:r>
    </w:p>
    <w:p>
      <w:pPr>
        <w:spacing w:after="80" w:line="276" w:lineRule="auto"/>
      </w:pPr>
      <w:r>
        <w:t>[103] O'Brien, R. M. (2007). A caution regarding rules of thumb for variance inflation factors. Quality &amp; Quantity, 41(5), 673-690. https://doi.org/10.1007/s11135-006-9018-6</w:t>
      </w:r>
    </w:p>
    <w:p>
      <w:pPr>
        <w:spacing w:after="80" w:line="276" w:lineRule="auto"/>
      </w:pPr>
      <w:r>
        <w:t>[104] Fawcett, T. (2006). An introduction to ROC analysis. Pattern Recognition Letters, 27(8), 861-874. https://doi.org/10.1016/j.patrec.2005.10.010</w:t>
      </w:r>
    </w:p>
    <w:p>
      <w:pPr>
        <w:spacing w:after="80" w:line="276" w:lineRule="auto"/>
      </w:pPr>
      <w:r>
        <w:t>[105]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pPr>
      <w:r>
        <w:t>[106] Mamun, M. A., &amp; Griffiths, M. D. (2019). The psychological impact of extreme weather events and natural disasters on Bangladeshi students. Psychiatry Research, 281, 112574. https://doi.org/10.1016/j.psychres.2019.112574</w:t>
      </w:r>
    </w:p>
    <w:p>
      <w:pPr>
        <w:spacing w:after="80" w:line="276" w:lineRule="auto"/>
      </w:pPr>
      <w:r>
        <w:t>[107]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pPr>
      <w:r>
        <w:t>[108] Bzdok, D., Altman, N., &amp; Krzywinski, M. (2018). Statistics versus machine learning. Nature Methods, 15(4), 233-234. https://doi.org/10.1038/nmeth.4642</w:t>
      </w:r>
    </w:p>
    <w:p>
      <w:pPr>
        <w:spacing w:after="80" w:line="276" w:lineRule="auto"/>
      </w:pPr>
      <w:r>
        <w:t>[109] Deci, E. L., &amp; Ryan, R. M. (2000). The "what" and "why" of goal pursuits: Human needs and the self-determination of behavior. Psychological Inquiry, 11(4), 227-268.</w:t>
      </w:r>
    </w:p>
    <w:p>
      <w:pPr>
        <w:spacing w:after="80" w:line="276" w:lineRule="auto"/>
      </w:pPr>
      <w:r>
        <w:t>[110] Fang, J., Wang, X., Wen, Z., &amp; Zhou, J. (2022). Fear of missing out and problematic social media use as mediators between emotional support from social media and phubbing behavior. Addictive Behaviors, 107, 106430.</w:t>
      </w:r>
    </w:p>
    <w:p>
      <w:pPr>
        <w:spacing w:after="80" w:line="276" w:lineRule="auto"/>
      </w:pPr>
      <w:r>
        <w:t>[111]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pPr>
      <w:r>
        <w:t>[112]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pPr>
      <w:r>
        <w:t>[113] Ke, G., Meng, Q., Finley, T., Wang, T., Chen, W., Ma, W., Ye, Q., &amp; Liu, T. Y. (2017). LightGBM: A highly efficient gradient boosting decision tree. Advances in Neural Information Processing Systems, 30, 3146-3154.</w:t>
      </w:r>
    </w:p>
    <w:p>
      <w:pPr>
        <w:spacing w:after="80" w:line="276" w:lineRule="auto"/>
      </w:pPr>
      <w:r>
        <w:t>[114] Moons, K. G., Altman, D. G., Reitsma, J. B., Ioannidis, J. P., Macaskill, P., Steyerberg, E. W., ... &amp; Collins, G. S. (2015). Transparent Reporting of a multivariable prediction model for Individual Prognosis or Diagnosis (TRIPOD): Explanation and elaboration. Annals of Internal Medicine, 162(1), W1-W73.</w:t>
      </w:r>
    </w:p>
    <w:p>
      <w:pPr>
        <w:spacing w:after="80" w:line="276" w:lineRule="auto"/>
      </w:pPr>
      <w:r>
        <w:t>[115]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pPr>
      <w:r>
        <w:t>[116] Purvanova, R. K., &amp; Muros, J. P. (2010). Gender differences in burnout: A meta-analysis. Journal of Vocational Behavior, 77(2), 168-185. https://doi.org/10.1016/j.jvb.2010.04.006</w:t>
      </w:r>
    </w:p>
    <w:p>
      <w:pPr>
        <w:spacing w:after="80" w:line="276" w:lineRule="auto"/>
      </w:pPr>
      <w:r>
        <w:t>[117] Rudin, C. (2019). Stop explaining black box machine learning models for high stakes decisions and use interpretable models instead. Nature Machine Intelligence, 1(5), 206-215. https://doi.org/10.1038/s42256-019-0048-x</w:t>
      </w:r>
    </w:p>
    <w:p>
      <w:pPr>
        <w:spacing w:after="80" w:line="276" w:lineRule="auto"/>
      </w:pPr>
      <w:r>
        <w:t>[118] Guest, G., Bunce, A., &amp; Johnson, L. (2006). How many interviews are enough? An experiment with data saturation and variability. Field Methods, 18(1), 59–82. https://doi.org/10.1177/1525822X05279903</w:t>
      </w:r>
    </w:p>
    <w:p>
      <w:pPr>
        <w:spacing w:after="80" w:line="276" w:lineRule="auto"/>
      </w:pPr>
      <w:r>
        <w:t>[119] Rohland, B. M., Kruse, G. R., &amp; Rohrer, J. E. (2004). Validation of a single-item measure of burnout against the Maslach Burnout Inventory among physicians. Stress and Health, 20(2), 75–79. https://doi.org/10.1002/smi.1003</w:t>
      </w:r>
    </w:p>
    <w:p>
      <w:pPr>
        <w:spacing w:after="80" w:line="276" w:lineRule="auto"/>
      </w:pPr>
      <w:r>
        <w:t>[120] Landis, J. R., &amp; Koch, G. G. (1977). The measurement of observer agreement for categorical data. Biometrics, 33(1), 159–174. https://doi.org/10.2307/2529310</w:t>
      </w:r>
    </w:p>
    <w:p>
      <w:pPr>
        <w:spacing w:after="80" w:line="276" w:lineRule="auto"/>
      </w:pPr>
      <w:r>
        <w:t>[121] Faul, F., Erdfelder, E., Lang, A. G., &amp; Buchner, A. (2007). G*Power 3: A flexible statistical power analysis program for the social, behavioral, and biomedical sciences. Behavior Research Methods, 39(2), 175–191. https://doi.org/10.3758/BF03193146</w:t>
      </w:r>
    </w:p>
    <w:p>
      <w:pPr>
        <w:spacing w:after="80" w:line="276" w:lineRule="auto"/>
      </w:pPr>
      <w:r>
        <w:t>[122] Cohen, J. (1988). Statistical power analysis for the behavioral sciences (2nd ed.). Lawrence Erlbaum Associates.</w:t>
      </w:r>
    </w:p>
    <w:p>
      <w:pPr>
        <w:spacing w:after="80" w:line="276" w:lineRule="auto"/>
      </w:pPr>
      <w:r>
        <w:t>[123]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