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w:t>
      </w:r>
      <w:r>
        <w:rPr>
          <w:vertAlign w:val="superscript"/>
        </w:rPr>
        <w:t>1,*</w:t>
      </w:r>
      <w:r>
        <w:t xml:space="preserve"> and Dr. A.S.M. Shihavuddin</w:t>
      </w:r>
      <w:r>
        <w:rPr>
          <w:vertAlign w:val="superscript"/>
        </w:rPr>
        <w:t>2</w:t>
      </w:r>
    </w:p>
    <w:p>
      <w:pPr>
        <w:spacing w:after="80" w:line="276" w:lineRule="auto"/>
      </w:pPr>
      <w:r>
        <w:rPr>
          <w:vertAlign w:val="superscript"/>
        </w:rPr>
        <w:t>1</w:t>
      </w:r>
      <w:r>
        <w:t xml:space="preserve"> Department of Computer Science and Engineering, Presidency University, Dhaka 1212, Bangladesh</w:t>
      </w:r>
    </w:p>
    <w:p>
      <w:pPr>
        <w:spacing w:after="80" w:line="276" w:lineRule="auto"/>
      </w:pPr>
      <w:r>
        <w:rPr>
          <w:vertAlign w:val="superscript"/>
        </w:rPr>
        <w:t>2</w:t>
      </w:r>
      <w:r>
        <w:t xml:space="preserve"> Department of Electrical and Electronic Engineering, Green University of Bangladesh, Dhaka 1207, Bangladesh</w:t>
      </w:r>
    </w:p>
    <w:p>
      <w:pPr>
        <w:spacing w:after="80" w:line="276" w:lineRule="auto"/>
      </w:pPr>
      <w:r>
        <w:t>*Corresponding Author: Rifat Miah (Email: rifatmiah1992003@gmail.com)</w:t>
      </w:r>
    </w:p>
    <w:p>
      <w:pPr>
        <w:spacing w:after="80" w:line="276" w:lineRule="auto"/>
      </w:pPr>
      <w:r>
        <w:t>Co-Author: Dr. A.S.M. Shihavuddin (Email: shihav@eee.green.edu.bd)</w:t>
      </w:r>
    </w:p>
    <w:p>
      <w:pPr>
        <w:spacing w:after="80" w:line="276" w:lineRule="auto"/>
      </w:pPr>
      <w:r>
        <w:rPr>
          <w:i/>
        </w:rPr>
        <w:t>Affiliation Note</w:t>
      </w:r>
      <w:r>
        <w:t>: Survey data collection and qualitative interviews were conducted while the first author (Rifat Miah) was enrolled at the Department of Computer Science, American International University-Bangladesh (AIUB), Dhaka. The current institutional affiliation reflects the author's affiliation at the time of manuscript submission and publication.</w:t>
      </w:r>
    </w:p>
    <w:p>
      <w:pPr>
        <w:pStyle w:val="Heading2"/>
        <w:spacing w:before="240" w:after="80"/>
      </w:pPr>
      <w:r>
        <w:rPr>
          <w:color w:val="1E3A8A"/>
        </w:rPr>
        <w:t>Abstract</w:t>
      </w:r>
    </w:p>
    <w:p>
      <w:pPr>
        <w:spacing w:after="80" w:line="276" w:lineRule="auto"/>
      </w:pPr>
      <w:r>
        <w:t xml:space="preserve">Background: Academic burnout has become a major mental health challenge across higher education institutions, particularly in resource-constrained South Asian universities where structural counseling infrastructure is scarce. Current institutional screening frameworks remain constrained by isolated psychometric surveys, opaque decision algorithms, and an absence of contextual qualitative inquiry. Methods: We implemented an explanatory sequential mixed-methods design (QUAN → QUAL) on a primary cross-sectional cohort of N = 601 university undergraduates in Bangladesh. Quantitative modeling established baseline risk indicators through 10 supervised classification algorithms and a Soft Voting Ensemble evaluated via 10-fold stratified cross-validation. Nine domain-engineered composite indices operationalizing Conservation of Resources (COR) and Job Demands-Resources (JD-R) frameworks were incorporated, demonstrating modest-to-moderate construct correlations (|r| = 0.025 to 0.246; Spearman |rho| = 0.015 to 0.242) without circular target leakage. A purposive nested sub-sample of N = 20 students stratified across quantitative burnout severity tiers (Low, Medium, High) participated in semi-structured qualitative interviews to contextualize computational patterns. Results: Random Forest yielded the leading classification performance (Accuracy = 65.89% +/- 5.83%, ROC-AUC = 0.7126 +/- 0.0775), providing a statistically significant 8.32 percentage-point gain over the 57.57% majority baseline (McNemar p &lt; .001, Bonferroni-adjusted p = .001) while remaining comparable to Logistic Regression (64.39% +/- 5.35%, McNemar p = 0.4743). Calibrating the decision threshold to th = 0.38 raised sensitivity to 71.76% (identifying 183 of 255 high-burnout students) for high-coverage voluntary screening under a pre-specified sensitivity prioritization criterion. Global SHAP analysis identified academic performance index, CGPA midpoint, and screen-to-sleep ratio as the primary risk factors, whereas sociodemographic markers contributed negligibly (mean |SHAP| &lt; 0.007). Reflexive thematic analysis of 20 interview transcripts corroborated these attributions and revealed an unmeasured dimension: institutional identity strain and career despair among National University students experiencing low academic workloads. Conclusion: Integrating supervised learning, game-theoretic explainability (SHAP), and reflexive qualitative analysis identifies a hypothesised compounding burnout pathway — career anxiety → psychological distress → digital escapism → biological sleep exhaustion — consistent with cross-sectional and qualitative evidence but requiring longitudinal confirmation. A key methodological limitation is the use of a single-item global burnout self-rating rather than a validated multi-item instrument (e.g., MBI-SS), which constrains classification performance and clinical generalisability. These findings establish a transparent, non-binding exploratory screening baseline to guide supportive campus mental health and mentoring systems. An open-access, privacy-preserving interactive web screening portal implementing the empirical model and real-time SHAP attributions is publicly accessible at: </w:t>
      </w:r>
      <w:r>
        <w:rPr>
          <w:rFonts w:ascii="Consolas" w:hAnsi="Consolas"/>
          <w:rFonts w:ascii="Consolas" w:hAnsi="Consolas" w:cs="Consolas"/>
          <w:color w:val="1E293B"/>
        </w:rPr>
        <w:t>https://burnoutwebapplication.netlify.app/</w:t>
      </w:r>
      <w:r>
        <w:t>.</w:t>
      </w:r>
    </w:p>
    <w:p>
      <w:pPr>
        <w:spacing w:after="80" w:line="276" w:lineRule="auto"/>
      </w:pPr>
      <w: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[5] recognised burnout as an occupational syndrome in ICD-11, recognising that unaddressed chronic stress leads to serious health consequences. While the conceptualisation of the framework was initially done in work environments [6], the framework is readily transferable to higher education, where university students face cognitive workloads, deadlines, and performance evaluations that are similar to professional demands [7]. Cross-national studies estimate that 30 to 50% of undergraduates suffer from clinically relevant burnout [8–10]. Rates of burnout are especially high in heavy-workload disciplines and developing economies. This challenge is further compounded by structural constraints in South Asia. Over the past two decades, university enrolment in Bangladesh has grown rapidly but institutional mental health services, student counselling centers and faculty mentoring programs have lagged [11, 12]. Recent empirical assessments by Hossain et al. [13] indicated that approximately 47% of surveyed Bangladeshi university students experience moderate-to-severe psychological distress, anxiety, and depressive symptoms, which are strongly correlated with academic disengagement and emotional exhaustion.</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16].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[17, 18].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[21, 22].</w:t>
      </w:r>
    </w:p>
    <w:p>
      <w:pPr>
        <w:spacing w:after="80" w:line="276" w:lineRule="auto"/>
      </w:pPr>
      <w:r>
        <w:t>Explainable artificial intelligence (XAI) frameworks, specifically SHapley Additive exPlanations (SHAP) based on cooperative game theory [23], overcome this interpretability barrier by quantifying the contribution of each feature to the overall model behaviour [21]. SHAP can also be used for transparent algorithmic auditing [22, 24, 25], quantifying the influence of academic metrics, sleep schedules and lifestyle factors on risk classifications while safeguarding algorithmic fairness and equity in educational applications [25].</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28].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[29]. Second, few educational models incorporate game-theoretic XAI techniques to go beyond simple feature counts to interpretable attributions [21, 22]. Third, there is a paucity of psychometric predictive research in developing countries where socio-economic realities, academic structures and counselling resources are very different from Western contexts [11, 12]. Fourth and most importantly, few studies integrate machine learning classification, SHAP interpretability, and qualitative thematic analysis in an explanatory sequential mixed-methods design (QUAN → QUAL) [22, 30, 31].</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Based on the COR (Conservation of Resources) theory [32], the Job Demands-Resources (JD-R) model [33] and the previous empirical literature [1, 4], we specify the following four theory-derived a priori research expectations, formulated prior to data analysis. These expectations are not formally pre-registered in a public registry (e.g., OSF, AsPredicted) and are therefore interpreted as confirmatory theory tests rather than pre-registered predictions:</w:t>
      </w:r>
    </w:p>
    <w:p>
      <w:pPr>
        <w:spacing w:after="80" w:line="276" w:lineRule="auto"/>
      </w:pPr>
      <w:r>
        <w:t>H1. Ensemble-based classifiers (e.g. Random Forest, XGBoost [34], LightGBM [35], CatBoost [36]) will perform better than single learner models (e.g. Logistic Regression, Decision Tree) on F1-scores and ROC-AUC metrics.</w:t>
      </w:r>
    </w:p>
    <w:p>
      <w:pPr>
        <w:spacing w:after="80" w:line="276" w:lineRule="auto"/>
      </w:pPr>
      <w:r>
        <w:t>H2.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According to COR theory's resource-preservation principles, resource-related indicators (sleep quality, physical activity, wellbeing buffer) will be negatively associated with severity of burnout.</w:t>
      </w:r>
    </w:p>
    <w:p>
      <w:pPr>
        <w:spacing w:after="80" w:line="276" w:lineRule="auto"/>
      </w:pPr>
      <w:r>
        <w:t>H4.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pStyle w:val="ListBullet"/>
        <w:spacing w:after="80" w:line="276" w:lineRule="auto"/>
      </w:pPr>
      <w:r>
        <w:t>Academic Demands: Study hours, academic pressure and workload score.</w:t>
      </w:r>
    </w:p>
    <w:p>
      <w:pPr>
        <w:pStyle w:val="ListBullet"/>
        <w:spacing w:after="80" w:line="276" w:lineRule="auto"/>
      </w:pPr>
      <w:r>
        <w:t>Psychological Vulnerability: Self-report of depression and stress.</w:t>
      </w:r>
    </w:p>
    <w:p>
      <w:pPr>
        <w:pStyle w:val="ListBullet"/>
        <w:spacing w:after="80" w:line="276" w:lineRule="auto"/>
      </w:pPr>
      <w:r>
        <w:t>Lifestyle &amp; Behavioural Habits: Sleep duration, sleep quality, physical activity, and social media consumption.</w:t>
      </w:r>
    </w:p>
    <w:p>
      <w:pPr>
        <w:pStyle w:val="ListBullet"/>
        <w:spacing w:after="80" w:line="276" w:lineRule="auto"/>
      </w:pPr>
      <w:r>
        <w:t>Sociodemographic Characteristics: Age, gender, academic year, and level of degree.</w:t>
      </w:r>
    </w:p>
    <w:p>
      <w:pPr>
        <w:pStyle w:val="ListBullet"/>
        <w:spacing w:after="80" w:line="276" w:lineRule="auto"/>
      </w:pPr>
      <w:r>
        <w:t>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[32, 37],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[32, 37],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[33, 38].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[38, 39].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[40, 41]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[40].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42].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[29].</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pStyle w:val="ListBullet"/>
        <w:spacing w:after="80" w:line="276" w:lineRule="auto"/>
      </w:pPr>
      <w:r>
        <w:t>Academic Burnout: The feeling of emotional exhaustion, cynicism to academic commitments and low efficacy from chronic educational demands [7]. • Explainable AI (XAI): Analytical techniques such as SHAP, feature attribution techniques explaining the predictive logic of complex machine learning algorithms [23].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[21]. • Triangulation: Systematic integration of quantitative statistical patterns and qualitative narratives to assess convergence, complementarity and divergence [26, 28].</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Section 6 presents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[43], and later formally operationalised by Maslach and Jackson [44] as a three-dimensional syndrome of emotional exhaustion, depersonalisation (cynicism) and reduced personal accomplishment. The Maslach Burnout Inventory (MBI) remains the most commonly used measure in the work and organisational research literature [6, 28]. Given the evaluative pressure, competitive deadlines and cognitive demands that university students are exposed to, Schaufeli et al. [7]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[7, 14]. This three-factor structure has been replicated in later psychometric studies using European [3, 7], North American [6, 45] and Asian [46] samples. Recent scholarship, however, conceptualises burnout more as a continuous behavioural and physiological process embedded in students’ daily routines such as sleep quality, physical activity, digital consumption, and social interactions [1, 47–49]. Behavioural features can be early objective markers for risk rather than burnout as an end state psychological score. Burnout has also been identified by researchers as a progressive continuum [33, 50] that supports the use of multi-tiered risk stratification (Low, Medium, High) for clinical and preventive screening [50, 51].</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[8] estimated the prevalence of significant burnout symptoms in university students to be between 28% and 55%, higher in competitive STEM and medical studies [52, 53]. Meta-analytic data from Erschens et al. [9] shows that around 44% of medical students worldwide suffer from emotional exhaustion. In the post-pandemic period, many reviews reported high rates of burnout worldwide, for example 61% in Saudi Arabia [10], Turkey [54], India [19], Brazil [55–57] and Bangladesh [58]. There are particular structural barriers facing university students in South Asia. Hossain et al. [13] reported that over 47% of surveyed Bangladeshi undergraduates experienced moderate-to-severe psychological distress and depressive affect during higher education coursework. Private institutions had high rates, where the demands of coursework are compounded by academic fees and employment pressures [59]. Systemic vulnerability was identified in multi-institutional reviews by Ali et al. [60] and Hossen et al. [30]. It was found that Bangladeshi students experienced pervasive anxiety and depressive affect [14, 61], which was caused by a lack of adequate mental health infrastructure on campus. Untreated burnout of students in higher education has well-documented effects. Longitudinal studies have shown that chronic burnout may predict academic underachievement [32], increased dropout intentions [62, 63], substance misuse [53, 55], depressive episodes and suicidal ideation [56, 64]. In developing countries, where educational investment represents a major financial commitment for families under rising economic pressures [11], academic attrition has profound socio-economic consequences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Academic Workload and Demand-Side Predictors</w:t>
      </w:r>
    </w:p>
    <w:p>
      <w:pPr>
        <w:spacing w:after="80" w:line="276" w:lineRule="auto"/>
      </w:pPr>
      <w:r>
        <w:t>“Academic strain is consistently associated with frequent examinations, rigid grading curves, and volume of course work” [1]. Salmela-Aro and Upadyaya [33] found that increased study demands predicted burnout trajectories in a longitudinal study, even when controlling for baseline psychological health. Subjective evaluation of workload manageability was a stronger predictor than the raw hours invested [65],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[47, 48]. Meta-analytic results of Bianchi et al. [64] demonstrated considerable overlap of burnout with depressive symptoms (pooled r = .52). In addition, systematic vulnerability appears in individuals with high levels of trait anxiety [49], neuroticism [51, 66] and academic helplessness [52]. Financial problems have also been cited as a major stressor. Richardson et al. [67] found that students experiencing financial strain were 1.8 times more likely to report severe burnout and Walsemann et al. [68]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night) and poor sleep quality are linked to significant increases in risk of burnout [69–71]. Disruption of the sleep architecture is strongly associated with daytime cognitive functioning and emotional regulation [72, 73]. Conversely, regular physical activity is a possible protective factor, reducing the symptoms of burnout by approximately 0.4 standard deviations in meta-analyses [74]. Increased recreational screen time, particularly unstructured social media scrolling, has been associated with increased levels of burnout due to the displacement of study time and poor sleep quality [63, 75–78]. Fang et al. [79] and Ng et al. [80]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[81] found female students to report slightly higher levels of emotional exhaustion and male students to report higher levels of cynicism. The impact of the academic year varies across curricula, with peaks in transition periods, such as second year or clinical rotations [3, 9]. Contextual moderators are important institutional factors like faculty availability, class size, and mental health services [12]. Social and family support is always a buffer against burnout [82]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[83, 84].</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[85] reviewed 30 studies on prescriptive modelling and concluded that ensemble algorithms generally outperformed a single tree classifier. In a recent study, Alhazmi and Sheneamer [86]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[75, 76]. Adding lifestyle features, such as sleep duration, exercise, digital habits and psychometric scores, consistently improves the prediction performance [87, 88].</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[89]. 3. Single-metric evaluation: Models often report raw accuracy and ignore class-specific recalls, precision-recall trade-offs, and the decision-threshold calibration required for deployment in an institution [90].</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[21, 22]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[23, 91], which computes the exact marginal contribution of each input feature to individual and global predictions. Heuristic feature rankings [23]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[92].</w:t>
      </w:r>
    </w:p>
    <w:p>
      <w:pPr>
        <w:pStyle w:val="Heading4"/>
        <w:spacing w:before="160" w:after="40"/>
      </w:pPr>
      <w:r>
        <w:t>2.5.2 Comparison to feature importance methods</w:t>
      </w:r>
    </w:p>
    <w:p>
      <w:pPr>
        <w:spacing w:after="80" w:line="276" w:lineRule="auto"/>
      </w:pPr>
      <w:r>
        <w:t>Standard tree ensembles compute Gini impurity based importances [93, 94] which can be biased toward features with a large number of levels [95]. Permutation importance measures the drop in performance when shuffling the feature, but correlated variables can lead to extrapolation artefacts [96, 97]. Partial dependence plots (PDP) and individual conditional expectation (ICE) plots visualise marginal effects [98, 99]. SHAP provides local instance-level attributions and global feature rankings [21, 100].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29]. Mixed methods research in educational psychology enables investigators to integrate quantitative predictive screening with narrative explanations of students’ lived experience [27, 28].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50, 63].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101]. • Gap 2 (Interpretability Deficit): The absence of game-theoretic XAI (SHAP) explanations for the common use of black-box algorithms [21, 22]. • Gap 3 (Contextual Focus): no empirical ML research in the setting of South Asian higher education [11, 31].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[32, 38].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[31]</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[80]</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[58]</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[30]</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enrolled university students in Bangladesh, recruited through institutional networks via online distribution across 11 higher education institutions (8 private universities, 1 public university, and 2 National University affiliated colleges). The cohort represents students from diverse academic disciplines across Bachelor's (69.22%, n = 416), Master's (24.96%, n = 150), Ph.D. (4.49%, n = 27), and Diploma/Associate Degree programs (1.33%, n = 8), with a balanced gender ratio (Male: 57.24%, n = 344; Female: 42.76%, n = 257). Age brackets reflected standard university cohorts: 19–20 years (24.96%, n = 150), 21–22 years (23.96%, n = 144), 23–24 years (22.80%, n = 137), 25+ years (18.97%, n = 114), and a freshman transition age group designated as 17–18 years (9.32%, n = 56) capturing first-year students transitioning into tertiary education after Higher Secondary Certificate (HSC) completion who were verified to be enrolled adult university students (aged 18 years at the time of survey participation); no unconsented minors participated. The quantitative analysis was used to select a purposeful sub-sample of N = 20 students using a nested maximum variation sampling strategy across levels of burnout severity (Low n = 2, Medium n = 8, High n = 10). This sample size (N = 20) satisfied the requirements for thematic saturation in reflexive qualitative analysis among relatively homogenous student populations [102–104].</w:t>
      </w:r>
    </w:p>
    <w:p>
      <w:pPr>
        <w:pStyle w:val="Heading3"/>
        <w:spacing w:before="200" w:after="60"/>
      </w:pPr>
      <w:r>
        <w:rPr>
          <w:color w:val="047857"/>
        </w:rPr>
        <w:t>3.3 Data Collection Tools, Operationalisation, and Variable Codebook</w:t>
      </w:r>
    </w:p>
    <w:p>
      <w:pPr>
        <w:spacing w:after="80" w:line="276" w:lineRule="auto"/>
      </w:pPr>
      <w:r>
        <w:t>Quantitative Research Strand: The quantitative survey instrument captured sociodemographic indicators, daily behavioural habits, academic performance metrics, and standardized psychometric items. All 18 raw survey variables, their conceptual operationalisation, measurement scales, response anchors, and empirical ranges are documented in Table 2.</w:t>
      </w:r>
    </w:p>
    <w:p>
      <w:pPr>
        <w:pStyle w:val="Heading3"/>
        <w:spacing w:before="200" w:after="60"/>
      </w:pPr>
      <w:r>
        <w:rPr>
          <w:color w:val="047857"/>
        </w:rPr>
        <w:t>Table 2. Survey Instrument Items, Operational Definitions, and Empirical Ranges (N = 601)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Variable Name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Domain / Category</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Question / Item Operationalisation</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Measurement Scale &amp; Anchors</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Empirical Range in Data</w:t>
            </w:r>
          </w:p>
        </w:tc>
      </w:tr>
      <w:tr>
        <w:tc>
          <w:tcPr>
            <w:tcW w:type="dxa" w:w="1872"/>
            <w:tcBorders>
              <w:top w:val="single" w:color="94A3B8" w:sz="4"/>
              <w:left w:val="none"/>
              <w:bottom w:val="single" w:color="94A3B8" w:sz="4"/>
              <w:right w:val="none"/>
            </w:tcBorders>
          </w:tcPr>
          <w:p>
            <w:r/>
            <w:r>
              <w:t>gender</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Self-reported gender identity (binary survey options: Male, Female)</w:t>
            </w:r>
          </w:p>
        </w:tc>
        <w:tc>
          <w:tcPr>
            <w:tcW w:type="dxa" w:w="1872"/>
            <w:tcBorders>
              <w:top w:val="single" w:color="94A3B8" w:sz="4"/>
              <w:left w:val="none"/>
              <w:bottom w:val="single" w:color="94A3B8" w:sz="4"/>
              <w:right w:val="none"/>
            </w:tcBorders>
          </w:tcPr>
          <w:p>
            <w:r/>
            <w:r>
              <w:t>Categorical (Male, Female)</w:t>
            </w:r>
          </w:p>
        </w:tc>
        <w:tc>
          <w:tcPr>
            <w:tcW w:type="dxa" w:w="1872"/>
            <w:tcBorders>
              <w:top w:val="single" w:color="94A3B8" w:sz="4"/>
              <w:left w:val="none"/>
              <w:bottom w:val="single" w:color="94A3B8" w:sz="4"/>
              <w:right w:val="none"/>
            </w:tcBorders>
          </w:tcPr>
          <w:p>
            <w:r/>
            <w:r>
              <w:t>Male (57.24%), Female (42.76%)</w:t>
            </w:r>
          </w:p>
        </w:tc>
      </w:tr>
      <w:tr>
        <w:tc>
          <w:tcPr>
            <w:tcW w:type="dxa" w:w="1872"/>
            <w:tcBorders>
              <w:top w:val="single" w:color="94A3B8" w:sz="4"/>
              <w:left w:val="none"/>
              <w:bottom w:val="single" w:color="94A3B8" w:sz="4"/>
              <w:right w:val="none"/>
            </w:tcBorders>
          </w:tcPr>
          <w:p>
            <w:r/>
            <w:r>
              <w:t>age_group</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Student age bracket at survey completion</w:t>
            </w:r>
          </w:p>
        </w:tc>
        <w:tc>
          <w:tcPr>
            <w:tcW w:type="dxa" w:w="1872"/>
            <w:tcBorders>
              <w:top w:val="single" w:color="94A3B8" w:sz="4"/>
              <w:left w:val="none"/>
              <w:bottom w:val="single" w:color="94A3B8" w:sz="4"/>
              <w:right w:val="none"/>
            </w:tcBorders>
          </w:tcPr>
          <w:p>
            <w:r/>
            <w:r>
              <w:t>Categorical (17–18, 19–20, 21–22, 23–24, 25+ years)</w:t>
            </w:r>
          </w:p>
        </w:tc>
        <w:tc>
          <w:tcPr>
            <w:tcW w:type="dxa" w:w="1872"/>
            <w:tcBorders>
              <w:top w:val="single" w:color="94A3B8" w:sz="4"/>
              <w:left w:val="none"/>
              <w:bottom w:val="single" w:color="94A3B8" w:sz="4"/>
              <w:right w:val="none"/>
            </w:tcBorders>
          </w:tcPr>
          <w:p>
            <w:r/>
            <w:r>
              <w:t>17–18 to 25+ years</w:t>
            </w:r>
          </w:p>
        </w:tc>
      </w:tr>
      <w:tr>
        <w:tc>
          <w:tcPr>
            <w:tcW w:type="dxa" w:w="1872"/>
            <w:tcBorders>
              <w:top w:val="single" w:color="94A3B8" w:sz="4"/>
              <w:left w:val="none"/>
              <w:bottom w:val="single" w:color="94A3B8" w:sz="4"/>
              <w:right w:val="none"/>
            </w:tcBorders>
          </w:tcPr>
          <w:p>
            <w:r/>
            <w:r>
              <w:t>degree</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enrolled degree program</w:t>
            </w:r>
          </w:p>
        </w:tc>
        <w:tc>
          <w:tcPr>
            <w:tcW w:type="dxa" w:w="1872"/>
            <w:tcBorders>
              <w:top w:val="single" w:color="94A3B8" w:sz="4"/>
              <w:left w:val="none"/>
              <w:bottom w:val="single" w:color="94A3B8" w:sz="4"/>
              <w:right w:val="none"/>
            </w:tcBorders>
          </w:tcPr>
          <w:p>
            <w:r/>
            <w:r>
              <w:t>Categorical (Bachelor's, Master's, Ph.D., Diploma/Associate)</w:t>
            </w:r>
          </w:p>
        </w:tc>
        <w:tc>
          <w:tcPr>
            <w:tcW w:type="dxa" w:w="1872"/>
            <w:tcBorders>
              <w:top w:val="single" w:color="94A3B8" w:sz="4"/>
              <w:left w:val="none"/>
              <w:bottom w:val="single" w:color="94A3B8" w:sz="4"/>
              <w:right w:val="none"/>
            </w:tcBorders>
          </w:tcPr>
          <w:p>
            <w:r/>
            <w:r>
              <w:t>4 program tiers</w:t>
            </w:r>
          </w:p>
        </w:tc>
      </w:tr>
      <w:tr>
        <w:tc>
          <w:tcPr>
            <w:tcW w:type="dxa" w:w="1872"/>
            <w:tcBorders>
              <w:top w:val="single" w:color="94A3B8" w:sz="4"/>
              <w:left w:val="none"/>
              <w:bottom w:val="single" w:color="94A3B8" w:sz="4"/>
              <w:right w:val="none"/>
            </w:tcBorders>
          </w:tcPr>
          <w:p>
            <w:r/>
            <w:r>
              <w:t>academic_year</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academic year of study</w:t>
            </w:r>
          </w:p>
        </w:tc>
        <w:tc>
          <w:tcPr>
            <w:tcW w:type="dxa" w:w="1872"/>
            <w:tcBorders>
              <w:top w:val="single" w:color="94A3B8" w:sz="4"/>
              <w:left w:val="none"/>
              <w:bottom w:val="single" w:color="94A3B8" w:sz="4"/>
              <w:right w:val="none"/>
            </w:tcBorders>
          </w:tcPr>
          <w:p>
            <w:r/>
            <w:r>
              <w:t>Categorical (1st Year, 2nd Year, 3rd Year, Final Year)</w:t>
            </w:r>
          </w:p>
        </w:tc>
        <w:tc>
          <w:tcPr>
            <w:tcW w:type="dxa" w:w="1872"/>
            <w:tcBorders>
              <w:top w:val="single" w:color="94A3B8" w:sz="4"/>
              <w:left w:val="none"/>
              <w:bottom w:val="single" w:color="94A3B8" w:sz="4"/>
              <w:right w:val="none"/>
            </w:tcBorders>
          </w:tcPr>
          <w:p>
            <w:r/>
            <w:r>
              <w:t>4 study stages</w:t>
            </w:r>
          </w:p>
        </w:tc>
      </w:tr>
      <w:tr>
        <w:tc>
          <w:tcPr>
            <w:tcW w:type="dxa" w:w="1872"/>
            <w:tcBorders>
              <w:top w:val="single" w:color="94A3B8" w:sz="4"/>
              <w:left w:val="none"/>
              <w:bottom w:val="single" w:color="94A3B8" w:sz="4"/>
              <w:right w:val="none"/>
            </w:tcBorders>
          </w:tcPr>
          <w:p>
            <w:r/>
            <w:r>
              <w:t>study_hours_numeric</w:t>
            </w:r>
          </w:p>
        </w:tc>
        <w:tc>
          <w:tcPr>
            <w:tcW w:type="dxa" w:w="1872"/>
            <w:tcBorders>
              <w:top w:val="single" w:color="94A3B8" w:sz="4"/>
              <w:left w:val="none"/>
              <w:bottom w:val="single" w:color="94A3B8" w:sz="4"/>
              <w:right w:val="none"/>
            </w:tcBorders>
          </w:tcPr>
          <w:p>
            <w:r/>
            <w:r>
              <w:t>Behavioural</w:t>
            </w:r>
          </w:p>
        </w:tc>
        <w:tc>
          <w:tcPr>
            <w:tcW w:type="dxa" w:w="1872"/>
            <w:tcBorders>
              <w:top w:val="single" w:color="94A3B8" w:sz="4"/>
              <w:left w:val="none"/>
              <w:bottom w:val="single" w:color="94A3B8" w:sz="4"/>
              <w:right w:val="none"/>
            </w:tcBorders>
          </w:tcPr>
          <w:p>
            <w:r/>
            <w:r>
              <w:t>Average self-reported daily dedicated study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sleep_hours_numeric</w:t>
            </w:r>
          </w:p>
        </w:tc>
        <w:tc>
          <w:tcPr>
            <w:tcW w:type="dxa" w:w="1872"/>
            <w:tcBorders>
              <w:top w:val="single" w:color="94A3B8" w:sz="4"/>
              <w:left w:val="none"/>
              <w:bottom w:val="single" w:color="94A3B8" w:sz="4"/>
              <w:right w:val="none"/>
            </w:tcBorders>
          </w:tcPr>
          <w:p>
            <w:r/>
            <w:r>
              <w:t>Behavioural / Circadian</w:t>
            </w:r>
          </w:p>
        </w:tc>
        <w:tc>
          <w:tcPr>
            <w:tcW w:type="dxa" w:w="1872"/>
            <w:tcBorders>
              <w:top w:val="single" w:color="94A3B8" w:sz="4"/>
              <w:left w:val="none"/>
              <w:bottom w:val="single" w:color="94A3B8" w:sz="4"/>
              <w:right w:val="none"/>
            </w:tcBorders>
          </w:tcPr>
          <w:p>
            <w:r/>
            <w:r>
              <w:t>Average self-reported daily total sleep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4.00 – 9.00 hours</w:t>
            </w:r>
          </w:p>
        </w:tc>
      </w:tr>
      <w:tr>
        <w:tc>
          <w:tcPr>
            <w:tcW w:type="dxa" w:w="1872"/>
            <w:tcBorders>
              <w:top w:val="single" w:color="94A3B8" w:sz="4"/>
              <w:left w:val="none"/>
              <w:bottom w:val="single" w:color="94A3B8" w:sz="4"/>
              <w:right w:val="none"/>
            </w:tcBorders>
          </w:tcPr>
          <w:p>
            <w:r/>
            <w:r>
              <w:t>social_media_hours</w:t>
            </w:r>
          </w:p>
        </w:tc>
        <w:tc>
          <w:tcPr>
            <w:tcW w:type="dxa" w:w="1872"/>
            <w:tcBorders>
              <w:top w:val="single" w:color="94A3B8" w:sz="4"/>
              <w:left w:val="none"/>
              <w:bottom w:val="single" w:color="94A3B8" w:sz="4"/>
              <w:right w:val="none"/>
            </w:tcBorders>
          </w:tcPr>
          <w:p>
            <w:r/>
            <w:r>
              <w:t>Behavioural / Digital</w:t>
            </w:r>
          </w:p>
        </w:tc>
        <w:tc>
          <w:tcPr>
            <w:tcW w:type="dxa" w:w="1872"/>
            <w:tcBorders>
              <w:top w:val="single" w:color="94A3B8" w:sz="4"/>
              <w:left w:val="none"/>
              <w:bottom w:val="single" w:color="94A3B8" w:sz="4"/>
              <w:right w:val="none"/>
            </w:tcBorders>
          </w:tcPr>
          <w:p>
            <w:r/>
            <w:r>
              <w:t>Average daily recreational screen time and social media use</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physical_activity_hours</w:t>
            </w:r>
          </w:p>
        </w:tc>
        <w:tc>
          <w:tcPr>
            <w:tcW w:type="dxa" w:w="1872"/>
            <w:tcBorders>
              <w:top w:val="single" w:color="94A3B8" w:sz="4"/>
              <w:left w:val="none"/>
              <w:bottom w:val="single" w:color="94A3B8" w:sz="4"/>
              <w:right w:val="none"/>
            </w:tcBorders>
          </w:tcPr>
          <w:p>
            <w:r/>
            <w:r>
              <w:t>Lifestyle / Reserve</w:t>
            </w:r>
          </w:p>
        </w:tc>
        <w:tc>
          <w:tcPr>
            <w:tcW w:type="dxa" w:w="1872"/>
            <w:tcBorders>
              <w:top w:val="single" w:color="94A3B8" w:sz="4"/>
              <w:left w:val="none"/>
              <w:bottom w:val="single" w:color="94A3B8" w:sz="4"/>
              <w:right w:val="none"/>
            </w:tcBorders>
          </w:tcPr>
          <w:p>
            <w:r/>
            <w:r>
              <w:t>Average daily physical exercise, gym, sports, or active recreation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1.00 – 6.00 hours</w:t>
            </w:r>
          </w:p>
        </w:tc>
      </w:tr>
      <w:tr>
        <w:tc>
          <w:tcPr>
            <w:tcW w:type="dxa" w:w="1872"/>
            <w:tcBorders>
              <w:top w:val="single" w:color="94A3B8" w:sz="4"/>
              <w:left w:val="none"/>
              <w:bottom w:val="single" w:color="94A3B8" w:sz="4"/>
              <w:right w:val="none"/>
            </w:tcBorders>
          </w:tcPr>
          <w:p>
            <w:r/>
            <w:r>
              <w:t>attendance_pct</w:t>
            </w:r>
          </w:p>
        </w:tc>
        <w:tc>
          <w:tcPr>
            <w:tcW w:type="dxa" w:w="1872"/>
            <w:tcBorders>
              <w:top w:val="single" w:color="94A3B8" w:sz="4"/>
              <w:left w:val="none"/>
              <w:bottom w:val="single" w:color="94A3B8" w:sz="4"/>
              <w:right w:val="none"/>
            </w:tcBorders>
          </w:tcPr>
          <w:p>
            <w:r/>
            <w:r>
              <w:t>Academic Engagement</w:t>
            </w:r>
          </w:p>
        </w:tc>
        <w:tc>
          <w:tcPr>
            <w:tcW w:type="dxa" w:w="1872"/>
            <w:tcBorders>
              <w:top w:val="single" w:color="94A3B8" w:sz="4"/>
              <w:left w:val="none"/>
              <w:bottom w:val="single" w:color="94A3B8" w:sz="4"/>
              <w:right w:val="none"/>
            </w:tcBorders>
          </w:tcPr>
          <w:p>
            <w:r/>
            <w:r>
              <w:t>Official self-reported institutional classroom attendance</w:t>
            </w:r>
          </w:p>
        </w:tc>
        <w:tc>
          <w:tcPr>
            <w:tcW w:type="dxa" w:w="1872"/>
            <w:tcBorders>
              <w:top w:val="single" w:color="94A3B8" w:sz="4"/>
              <w:left w:val="none"/>
              <w:bottom w:val="single" w:color="94A3B8" w:sz="4"/>
              <w:right w:val="none"/>
            </w:tcBorders>
          </w:tcPr>
          <w:p>
            <w:r/>
            <w:r>
              <w:t>Binned / discrete midpoint (%)</w:t>
            </w:r>
          </w:p>
        </w:tc>
        <w:tc>
          <w:tcPr>
            <w:tcW w:type="dxa" w:w="1872"/>
            <w:tcBorders>
              <w:top w:val="single" w:color="94A3B8" w:sz="4"/>
              <w:left w:val="none"/>
              <w:bottom w:val="single" w:color="94A3B8" w:sz="4"/>
              <w:right w:val="none"/>
            </w:tcBorders>
          </w:tcPr>
          <w:p>
            <w:r/>
            <w:r>
              <w:t>20.00% – 95.00%</w:t>
            </w:r>
          </w:p>
        </w:tc>
      </w:tr>
      <w:tr>
        <w:tc>
          <w:tcPr>
            <w:tcW w:type="dxa" w:w="1872"/>
            <w:tcBorders>
              <w:top w:val="single" w:color="94A3B8" w:sz="4"/>
              <w:left w:val="none"/>
              <w:bottom w:val="single" w:color="94A3B8" w:sz="4"/>
              <w:right w:val="none"/>
            </w:tcBorders>
          </w:tcPr>
          <w:p>
            <w:r/>
            <w:r>
              <w:t>cgpa_midpoint</w:t>
            </w:r>
          </w:p>
        </w:tc>
        <w:tc>
          <w:tcPr>
            <w:tcW w:type="dxa" w:w="1872"/>
            <w:tcBorders>
              <w:top w:val="single" w:color="94A3B8" w:sz="4"/>
              <w:left w:val="none"/>
              <w:bottom w:val="single" w:color="94A3B8" w:sz="4"/>
              <w:right w:val="none"/>
            </w:tcBorders>
          </w:tcPr>
          <w:p>
            <w:r/>
            <w:r>
              <w:t>Academic Performance</w:t>
            </w:r>
          </w:p>
        </w:tc>
        <w:tc>
          <w:tcPr>
            <w:tcW w:type="dxa" w:w="1872"/>
            <w:tcBorders>
              <w:top w:val="single" w:color="94A3B8" w:sz="4"/>
              <w:left w:val="none"/>
              <w:bottom w:val="single" w:color="94A3B8" w:sz="4"/>
              <w:right w:val="none"/>
            </w:tcBorders>
          </w:tcPr>
          <w:p>
            <w:r/>
            <w:r>
              <w:t>Cumulative Grade Point Average midpoint bracket</w:t>
            </w:r>
          </w:p>
        </w:tc>
        <w:tc>
          <w:tcPr>
            <w:tcW w:type="dxa" w:w="1872"/>
            <w:tcBorders>
              <w:top w:val="single" w:color="94A3B8" w:sz="4"/>
              <w:left w:val="none"/>
              <w:bottom w:val="single" w:color="94A3B8" w:sz="4"/>
              <w:right w:val="none"/>
            </w:tcBorders>
          </w:tcPr>
          <w:p>
            <w:r/>
            <w:r>
              <w:t>Binned / discrete midpoint (4.00 grading scale)</w:t>
            </w:r>
          </w:p>
        </w:tc>
        <w:tc>
          <w:tcPr>
            <w:tcW w:type="dxa" w:w="1872"/>
            <w:tcBorders>
              <w:top w:val="single" w:color="94A3B8" w:sz="4"/>
              <w:left w:val="none"/>
              <w:bottom w:val="single" w:color="94A3B8" w:sz="4"/>
              <w:right w:val="none"/>
            </w:tcBorders>
          </w:tcPr>
          <w:p>
            <w:r/>
            <w:r>
              <w:t>2.25 – 3.875 CGPA</w:t>
            </w:r>
          </w:p>
        </w:tc>
      </w:tr>
      <w:tr>
        <w:tc>
          <w:tcPr>
            <w:tcW w:type="dxa" w:w="1872"/>
            <w:tcBorders>
              <w:top w:val="single" w:color="94A3B8" w:sz="4"/>
              <w:left w:val="none"/>
              <w:bottom w:val="single" w:color="94A3B8" w:sz="4"/>
              <w:right w:val="none"/>
            </w:tcBorders>
          </w:tcPr>
          <w:p>
            <w:r/>
            <w:r>
              <w:t>stress_score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Perceived academic stress and mental pressure level</w:t>
            </w:r>
          </w:p>
        </w:tc>
        <w:tc>
          <w:tcPr>
            <w:tcW w:type="dxa" w:w="1872"/>
            <w:tcBorders>
              <w:top w:val="single" w:color="94A3B8" w:sz="4"/>
              <w:left w:val="none"/>
              <w:bottom w:val="single" w:color="94A3B8" w:sz="4"/>
              <w:right w:val="none"/>
            </w:tcBorders>
          </w:tcPr>
          <w:p>
            <w:r/>
            <w:r>
              <w:t>4-point Likert (1 = Low,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depression_score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Self-reported depressive affect, sadness, and career despair</w:t>
            </w:r>
          </w:p>
        </w:tc>
        <w:tc>
          <w:tcPr>
            <w:tcW w:type="dxa" w:w="1872"/>
            <w:tcBorders>
              <w:top w:val="single" w:color="94A3B8" w:sz="4"/>
              <w:left w:val="none"/>
              <w:bottom w:val="single" w:color="94A3B8" w:sz="4"/>
              <w:right w:val="none"/>
            </w:tcBorders>
          </w:tcPr>
          <w:p>
            <w:r/>
            <w:r>
              <w:t>4-point Likert (1 = None/Minimal,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academic_pressure_score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curriculum load, deadlines, and exam difficulty</w:t>
            </w:r>
          </w:p>
        </w:tc>
        <w:tc>
          <w:tcPr>
            <w:tcW w:type="dxa" w:w="1872"/>
            <w:tcBorders>
              <w:top w:val="single" w:color="94A3B8" w:sz="4"/>
              <w:left w:val="none"/>
              <w:bottom w:val="single" w:color="94A3B8" w:sz="4"/>
              <w:right w:val="none"/>
            </w:tcBorders>
          </w:tcPr>
          <w:p>
            <w:r/>
            <w:r>
              <w:t>4-point Likert (1 = Manageable, 2 = Moderate, 3 = High, 4 = Overwhelming)</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workload_score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assignment volume and coursework density</w:t>
            </w:r>
          </w:p>
        </w:tc>
        <w:tc>
          <w:tcPr>
            <w:tcW w:type="dxa" w:w="1872"/>
            <w:tcBorders>
              <w:top w:val="single" w:color="94A3B8" w:sz="4"/>
              <w:left w:val="none"/>
              <w:bottom w:val="single" w:color="94A3B8" w:sz="4"/>
              <w:right w:val="none"/>
            </w:tcBorders>
          </w:tcPr>
          <w:p>
            <w:r/>
            <w:r>
              <w:t>4-point Likert (1 = Light, 2 = Moderate, 3 = Heavy, 4 = Extreme)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part_time_score</w:t>
            </w:r>
          </w:p>
        </w:tc>
        <w:tc>
          <w:tcPr>
            <w:tcW w:type="dxa" w:w="1872"/>
            <w:tcBorders>
              <w:top w:val="single" w:color="94A3B8" w:sz="4"/>
              <w:left w:val="none"/>
              <w:bottom w:val="single" w:color="94A3B8" w:sz="4"/>
              <w:right w:val="none"/>
            </w:tcBorders>
          </w:tcPr>
          <w:p>
            <w:r/>
            <w:r>
              <w:t>Employment Demand</w:t>
            </w:r>
          </w:p>
        </w:tc>
        <w:tc>
          <w:tcPr>
            <w:tcW w:type="dxa" w:w="1872"/>
            <w:tcBorders>
              <w:top w:val="single" w:color="94A3B8" w:sz="4"/>
              <w:left w:val="none"/>
              <w:bottom w:val="single" w:color="94A3B8" w:sz="4"/>
              <w:right w:val="none"/>
            </w:tcBorders>
          </w:tcPr>
          <w:p>
            <w:r/>
            <w:r>
              <w:t>Employment commitments outside academic coursework</w:t>
            </w:r>
          </w:p>
        </w:tc>
        <w:tc>
          <w:tcPr>
            <w:tcW w:type="dxa" w:w="1872"/>
            <w:tcBorders>
              <w:top w:val="single" w:color="94A3B8" w:sz="4"/>
              <w:left w:val="none"/>
              <w:bottom w:val="single" w:color="94A3B8" w:sz="4"/>
              <w:right w:val="none"/>
            </w:tcBorders>
          </w:tcPr>
          <w:p>
            <w:r/>
            <w:r>
              <w:t>3-point Ordinal (0 = None/Unemployed, 1 = Part-time, 2 = Substantial/Full-time)</w:t>
            </w:r>
          </w:p>
        </w:tc>
        <w:tc>
          <w:tcPr>
            <w:tcW w:type="dxa" w:w="1872"/>
            <w:tcBorders>
              <w:top w:val="single" w:color="94A3B8" w:sz="4"/>
              <w:left w:val="none"/>
              <w:bottom w:val="single" w:color="94A3B8" w:sz="4"/>
              <w:right w:val="none"/>
            </w:tcBorders>
          </w:tcPr>
          <w:p>
            <w:r/>
            <w:r>
              <w:t>0.00 – 2.00</w:t>
            </w:r>
          </w:p>
        </w:tc>
      </w:tr>
      <w:tr>
        <w:tc>
          <w:tcPr>
            <w:tcW w:type="dxa" w:w="1872"/>
            <w:tcBorders>
              <w:top w:val="single" w:color="94A3B8" w:sz="4"/>
              <w:left w:val="none"/>
              <w:bottom w:val="single" w:color="94A3B8" w:sz="4"/>
              <w:right w:val="none"/>
            </w:tcBorders>
          </w:tcPr>
          <w:p>
            <w:r/>
            <w:r>
              <w:t>motivation_score</w:t>
            </w:r>
          </w:p>
        </w:tc>
        <w:tc>
          <w:tcPr>
            <w:tcW w:type="dxa" w:w="1872"/>
            <w:tcBorders>
              <w:top w:val="single" w:color="94A3B8" w:sz="4"/>
              <w:left w:val="none"/>
              <w:bottom w:val="single" w:color="94A3B8" w:sz="4"/>
              <w:right w:val="none"/>
            </w:tcBorders>
          </w:tcPr>
          <w:p>
            <w:r/>
            <w:r>
              <w:t>Motivational Resource</w:t>
            </w:r>
          </w:p>
        </w:tc>
        <w:tc>
          <w:tcPr>
            <w:tcW w:type="dxa" w:w="1872"/>
            <w:tcBorders>
              <w:top w:val="single" w:color="94A3B8" w:sz="4"/>
              <w:left w:val="none"/>
              <w:bottom w:val="single" w:color="94A3B8" w:sz="4"/>
              <w:right w:val="none"/>
            </w:tcBorders>
          </w:tcPr>
          <w:p>
            <w:r/>
            <w:r>
              <w:t>Intrinsic motivation, academic drive, and course enthusiasm</w:t>
            </w:r>
          </w:p>
        </w:tc>
        <w:tc>
          <w:tcPr>
            <w:tcW w:type="dxa" w:w="1872"/>
            <w:tcBorders>
              <w:top w:val="single" w:color="94A3B8" w:sz="4"/>
              <w:left w:val="none"/>
              <w:bottom w:val="single" w:color="94A3B8" w:sz="4"/>
              <w:right w:val="none"/>
            </w:tcBorders>
          </w:tcPr>
          <w:p>
            <w:r/>
            <w:r>
              <w:t>3-point Ordinal (1 = Low/Disengaged, 2 = Moderate, 3 = High/Driven)</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sleep_quality_score</w:t>
            </w:r>
          </w:p>
        </w:tc>
        <w:tc>
          <w:tcPr>
            <w:tcW w:type="dxa" w:w="1872"/>
            <w:tcBorders>
              <w:top w:val="single" w:color="94A3B8" w:sz="4"/>
              <w:left w:val="none"/>
              <w:bottom w:val="single" w:color="94A3B8" w:sz="4"/>
              <w:right w:val="none"/>
            </w:tcBorders>
          </w:tcPr>
          <w:p>
            <w:r/>
            <w:r>
              <w:t>Restorative Resource</w:t>
            </w:r>
          </w:p>
        </w:tc>
        <w:tc>
          <w:tcPr>
            <w:tcW w:type="dxa" w:w="1872"/>
            <w:tcBorders>
              <w:top w:val="single" w:color="94A3B8" w:sz="4"/>
              <w:left w:val="none"/>
              <w:bottom w:val="single" w:color="94A3B8" w:sz="4"/>
              <w:right w:val="none"/>
            </w:tcBorders>
          </w:tcPr>
          <w:p>
            <w:r/>
            <w:r>
              <w:t>Subjective sleep quality and restorative restfulness</w:t>
            </w:r>
          </w:p>
        </w:tc>
        <w:tc>
          <w:tcPr>
            <w:tcW w:type="dxa" w:w="1872"/>
            <w:tcBorders>
              <w:top w:val="single" w:color="94A3B8" w:sz="4"/>
              <w:left w:val="none"/>
              <w:bottom w:val="single" w:color="94A3B8" w:sz="4"/>
              <w:right w:val="none"/>
            </w:tcBorders>
          </w:tcPr>
          <w:p>
            <w:r/>
            <w:r>
              <w:t>3-point Ordinal (1 = Poor/Disturbed, 2 = Fair/Average, 3 = Good/Restful)</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burnout_score</w:t>
            </w:r>
          </w:p>
        </w:tc>
        <w:tc>
          <w:tcPr>
            <w:tcW w:type="dxa" w:w="1872"/>
            <w:tcBorders>
              <w:top w:val="single" w:color="94A3B8" w:sz="4"/>
              <w:left w:val="none"/>
              <w:bottom w:val="single" w:color="94A3B8" w:sz="4"/>
              <w:right w:val="none"/>
            </w:tcBorders>
          </w:tcPr>
          <w:p>
            <w:r/>
            <w:r>
              <w:t>Target Variable</w:t>
            </w:r>
          </w:p>
        </w:tc>
        <w:tc>
          <w:tcPr>
            <w:tcW w:type="dxa" w:w="1872"/>
            <w:tcBorders>
              <w:top w:val="single" w:color="94A3B8" w:sz="4"/>
              <w:left w:val="none"/>
              <w:bottom w:val="single" w:color="94A3B8" w:sz="4"/>
              <w:right w:val="none"/>
            </w:tcBorders>
          </w:tcPr>
          <w:p>
            <w:r/>
            <w:r>
              <w:t>Global self-reported academic burnout severity tier</w:t>
            </w:r>
          </w:p>
        </w:tc>
        <w:tc>
          <w:tcPr>
            <w:tcW w:type="dxa" w:w="1872"/>
            <w:tcBorders>
              <w:top w:val="single" w:color="94A3B8" w:sz="4"/>
              <w:left w:val="none"/>
              <w:bottom w:val="single" w:color="94A3B8" w:sz="4"/>
              <w:right w:val="none"/>
            </w:tcBorders>
          </w:tcPr>
          <w:p>
            <w:r/>
            <w:r>
              <w:t>3-point Ordinal (1 = Low [n=117], 2 = Medium [n=229], 3 = High [n=255])</w:t>
            </w:r>
          </w:p>
        </w:tc>
        <w:tc>
          <w:tcPr>
            <w:tcW w:type="dxa" w:w="1872"/>
            <w:tcBorders>
              <w:top w:val="single" w:color="94A3B8" w:sz="4"/>
              <w:left w:val="none"/>
              <w:bottom w:val="single" w:color="94A3B8" w:sz="4"/>
              <w:right w:val="none"/>
            </w:tcBorders>
          </w:tcPr>
          <w:p>
            <w:r/>
            <w:r>
              <w:t>1.00 – 3.00 (Target: High=1, Low/Med=0)</w:t>
            </w:r>
          </w:p>
        </w:tc>
      </w:tr>
    </w:tbl>
    <w:p>
      <w:pPr>
        <w:spacing w:before="0" w:after="120"/>
      </w:pPr>
    </w:p>
    <w:p>
      <w:pPr>
        <w:spacing w:after="80" w:line="276" w:lineRule="auto"/>
      </w:pPr>
      <w:r>
        <w:t>Methodological Note on Survey Instrument Design and Midpoint Conversions: To minimize participant cognitive load and maximize completion rates across diverse student populations in Bangladesh, the time-budget, attendance, and academic performance variables were captured using standardized ordinal interval brackets on the electronic survey form (e.g., attendance brackets 0–30%, 31–60%, 61–80%, 81–100%; CGPA brackets &lt;2.50, 2.50–3.00, 3.00–3.50, 3.50), which were subsequently coded to their mathematical interval midpoints (e.g., 20%, 50%, 75%, 95%; 2.25, 2.875, 3.375, 3.875). Gender Operationalization Note: The survey instrument offered binary gender options (Male/Female) consistent with the predominant self-identification categories within the Bangladeshi higher education survey context, where binary gender classification remains the normative administrative framework for student records. The exclusion of non-binary or gender-diverse response options is acknowledged as a cultural-methodological limitation that may not be appropriate for Western or LGBTQ+-inclusive survey contexts; future replications should incorporate expanded gender identity options. Furthermore, while academic discipline/major represents a recognized academic contextual factor, it was not collected as a standardized quantitative survey variable to preserve cross-institutional anonymity, representing an unmeasured academic confounder addressed qualitatively in Section 8.</w:t>
      </w:r>
    </w:p>
    <w:p>
      <w:pPr>
        <w:spacing w:after="80" w:line="276" w:lineRule="auto"/>
      </w:pPr>
      <w:r>
        <w:t>The main outcome, academic burnout severity, was operationalised as a 3-point global ordinal measure (</w:t>
      </w:r>
      <w:r>
        <w:rPr>
          <w:rFonts w:ascii="Consolas" w:hAnsi="Consolas"/>
          <w:rFonts w:ascii="Consolas" w:hAnsi="Consolas" w:cs="Consolas"/>
          <w:color w:val="1E293B"/>
        </w:rPr>
        <w:t>burnout_score</w:t>
      </w:r>
      <w:r>
        <w:t>: 1 = Low, 2 = Medium, 3 = High) informed conceptually by the Maslach Burnout Inventory-Student Survey (MBI-SS) [7] and Copenhagen Burnout Inventory (CBI) [105]. Binary classification modelling scores were thresholded to Low/Medium Burnout (Target=0, n=346, 57.57%) vs. High Burnout (Target=1, n=255, 42.43%). Clinical Rationale for Target Dichotomisation: The High Burnout tier ($n = 255$) represents the acute, clinically vulnerable cohort requiring proactive campus counseling outreach and academic triage, whereas Low and Medium tiers represent sub-clinical developmental stress manageable through general campus wellness resources. This prioritization of acute risk screening motivates the binary classification formulation.</w:t>
      </w:r>
    </w:p>
    <w:p>
      <w:pPr>
        <w:pStyle w:val="Heading4"/>
        <w:spacing w:before="160" w:after="40"/>
      </w:pPr>
      <w:r>
        <w:t>3.3.1 Psychometric Limitations of the Single-Item Burnout Criterion</w:t>
      </w:r>
    </w:p>
    <w:p>
      <w:pPr>
        <w:spacing w:after="80" w:line="276" w:lineRule="auto"/>
      </w:pPr>
      <w:r>
        <w:t xml:space="preserve">Methodological Note: Psychometric Construct Validity and Common-Method Bias: In primary exploratory student surveys, single-item global ratings provide remarkably high response efficiency and response rates [46, 57]. Burnout measures that are based on single-item self-reports have been shown to be acceptable in terms of concurrent and convergent validity compared with full multi-item instruments such as the MBI, based on extensive psychometric validations by Rohland et al. (2004) [106], West et al. (2009) [107], and Elo et al. (2003) [108]. However, it is critical to note that these validation studies were conducted in </w:t>
      </w:r>
      <w:r>
        <w:rPr>
          <w:i/>
        </w:rPr>
        <w:t>medical professional populations</w:t>
      </w:r>
      <w:r>
        <w:t xml:space="preserve"> (physicians and healthcare workers), not in student cohorts; the transferability of these validity estimates to university student populations is theoretically plausible but empirically undemonstrated in the current dataset. Furthermore, a single-item global outcome in a one-wave cross-sectional survey is vulnerable to common-method variance (CMV) and has an unknown operational ceiling on classification performance — the maximum theoretically achievable ROC-AUC is bounded by the reliability of the criterion measure, which cannot be estimated without test-retest data. This ceiling effect means that comparisons of classification accuracy or ROC-AUC between this study (single-item criterion) and studies using validated multi-item instruments (e.g., MBI-SS, CBI) are technically not equivalent and should be interpreted cautiously.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full multi-item subscales (e.g., emotional exhaustion, cynicism, academic efficacy subscales of MBI-SS) and multi-wave longitudinal tracking to establish criterion validity in student populations.</w:t>
      </w:r>
    </w:p>
    <w:p>
      <w:pPr>
        <w:spacing w:after="80" w:line="276" w:lineRule="auto"/>
      </w:pPr>
      <w:r>
        <w:t>Qualitative Interviews Strand: Qualitative data collection utilized a structured 10-item interview guide with prompt-driven open-ended follow-up probes. The 10 standardized core questions systematically covered: (Q1) daily study routine, (Q2) sleep duration, (Q3) social media consumption, (Q4) part-time employment obligations, (Q5) academic stress levels, (Q6) mental health state, (Q7) physical exercise habits, (Q8) subjective burnout level, (Q9) classroom attendance, and (Q10) sleep quality. Individual interviews lasted approximately 20–30 minutes and were conducted in person or via secure digital audio/video platforms. Qualitative transcripts were open-coded prior to reviewing final SHAP quantitative feature rankings to preserve qualitative independence and prevent confirmation bias.</w:t>
      </w:r>
    </w:p>
    <w:p>
      <w:pPr>
        <w:pStyle w:val="Heading3"/>
        <w:spacing w:before="200" w:after="60"/>
      </w:pPr>
      <w:r>
        <w:rPr>
          <w:color w:val="047857"/>
        </w:rPr>
        <w:t>3.4 Consideration of Ethics</w:t>
      </w:r>
    </w:p>
    <w:p>
      <w:pPr>
        <w:spacing w:after="80" w:line="276" w:lineRule="auto"/>
      </w:pPr>
      <w:r>
        <w:t>The study was conducted in accordance with the ethical principles of the Declaration of Helsinki for research involving human subjects. Because the research involved an observational, non-invasive, cross-sectional survey and voluntary qualitative interviews with enrolled university students carrying minimal psychological risk, formal ethics committee review was exempt under the minimal-risk educational research exemption of the Department of Computer Science, American International University-Bangladesh (AIUB), Dhaka — the institution at which the first author was enrolled during data collection (see Affiliation Note, p. 1). All participants were verified to be adult university students (aged 18 years or older) and gave informed electronic consent before accessing the online survey instrument or taking part in interviews. Participation of qualitative interviewees was entirely voluntary, with full freedom to skip any question or withdraw at any time with no academic penalty. All interviewees were provided with contact details for university counseling support. Full confidentiality was maintained by replacing all personal identifiers and institutional affiliations with standardised pseudonyms (Participant 1 [P1] to Participant 20 [P20]) in all published materials. Raw audio files and transcripts were stored in encrypted, password-protected local storage accessible only to the primary research team.</w:t>
      </w:r>
    </w:p>
    <w:p>
      <w:pPr>
        <w:pStyle w:val="Heading3"/>
        <w:spacing w:before="200" w:after="60"/>
      </w:pPr>
      <w:r>
        <w:rPr>
          <w:color w:val="047857"/>
        </w:rPr>
        <w:t>3.5 Preprocessing of Data and Feature Engineering</w:t>
      </w:r>
    </w:p>
    <w:p>
      <w:pPr>
        <w:spacing w:after="80" w:line="276" w:lineRule="auto"/>
      </w:pPr>
      <w:r>
        <w:t xml:space="preserve">Data preparation and model evaluation were done in Python with </w:t>
      </w:r>
      <w:r>
        <w:rPr>
          <w:rFonts w:ascii="Consolas" w:hAnsi="Consolas"/>
          <w:rFonts w:ascii="Consolas" w:hAnsi="Consolas" w:cs="Consolas"/>
          <w:color w:val="1E293B"/>
        </w:rPr>
        <w:t>scikit-learn</w:t>
      </w:r>
      <w:r>
        <w:t xml:space="preserve"> [109], with exact runtime dependencies recorded in </w:t>
      </w:r>
      <w:r>
        <w:rPr>
          <w:rFonts w:ascii="Consolas" w:hAnsi="Consolas"/>
          <w:rFonts w:ascii="Consolas" w:hAnsi="Consolas" w:cs="Consolas"/>
          <w:color w:val="1E293B"/>
        </w:rPr>
        <w:t>requirements.txt</w:t>
      </w:r>
      <w:r>
        <w:t>. All feature engineering routines are wrapped into a shared module (</w:t>
      </w:r>
      <w:r>
        <w:rPr>
          <w:rFonts w:ascii="Consolas" w:hAnsi="Consolas"/>
          <w:rFonts w:ascii="Consolas" w:hAnsi="Consolas" w:cs="Consolas"/>
          <w:color w:val="1E293B"/>
        </w:rPr>
        <w:t>feature_engineering.py</w:t>
      </w:r>
      <w:r>
        <w:t>) to ensure 100%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3). Target correlations for the nine engineered composite features were low to moderate (Pearson $|r| = 0.025 \text{ to } 0.246$; Spearman $|\rho| = 0.015 \text{ to } 0.242$, with raw predictors reaching $|r| = 0.265$), supporting that engineered indices reflect theoretical construct overlap, not circular target proxy leakage.</w:t>
      </w:r>
    </w:p>
    <w:p>
      <w:pPr>
        <w:pStyle w:val="Heading3"/>
        <w:spacing w:before="200" w:after="60"/>
      </w:pPr>
      <w:r>
        <w:rPr>
          <w:color w:val="047857"/>
        </w:rPr>
        <w:t>Table 3. Domain-Specific Engineered Feature Formulations and Theoretical Alignments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[32].</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[75].</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[40].</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[38].</w:t>
            </w:r>
          </w:p>
        </w:tc>
      </w:tr>
    </w:tbl>
    <w:p>
      <w:pPr>
        <w:spacing w:before="0" w:after="120"/>
      </w:pPr>
    </w:p>
    <w:p>
      <w:pPr>
        <w:spacing w:after="80" w:line="276" w:lineRule="auto"/>
      </w:pPr>
      <w:r>
        <w:t>Note. For composite indices containing division terms (</w:t>
      </w:r>
      <w:r>
        <w:rPr>
          <w:rFonts w:ascii="Consolas" w:hAnsi="Consolas"/>
          <w:rFonts w:ascii="Consolas" w:hAnsi="Consolas" w:cs="Consolas"/>
          <w:color w:val="1E293B"/>
        </w:rPr>
        <w:t>burnout_vulnerability_index</w:t>
      </w:r>
      <w:r>
        <w:t xml:space="preserve">, </w:t>
      </w:r>
      <w:r>
        <w:rPr>
          <w:rFonts w:ascii="Consolas" w:hAnsi="Consolas"/>
          <w:rFonts w:ascii="Consolas" w:hAnsi="Consolas" w:cs="Consolas"/>
          <w:color w:val="1E293B"/>
        </w:rPr>
        <w:t>screen_to_sleep_ratio</w:t>
      </w:r>
      <w:r>
        <w:t xml:space="preserve">, </w:t>
      </w:r>
      <w:r>
        <w:rPr>
          <w:rFonts w:ascii="Consolas" w:hAnsi="Consolas"/>
          <w:rFonts w:ascii="Consolas" w:hAnsi="Consolas" w:cs="Consolas"/>
          <w:color w:val="1E293B"/>
        </w:rPr>
        <w:t>study_to_rest_ratio</w:t>
      </w:r>
      <w:r>
        <w:t xml:space="preserve">), a standard numerical Laplace stabilizing constant ($\epsilon = +0.1$) was included in denominators to prevent division-by-zero instability. Sensitivity analysis across four orders of magnitude ($\epsilon \in \{0.001, 0.01, 0.05, 0.1, 0.5, 1.0\}$) confirmed that model classification performance and SHAP rank stability are strictly invariant to the choice of $\epsilon$ (Random Forest Accuracy remains within 65.73%–66.72%, ROC-AUC within 0.7089–0.7145). For </w:t>
      </w:r>
      <w:r>
        <w:rPr>
          <w:rFonts w:ascii="Consolas" w:hAnsi="Consolas"/>
          <w:rFonts w:ascii="Consolas" w:hAnsi="Consolas" w:cs="Consolas"/>
          <w:color w:val="1E293B"/>
        </w:rPr>
        <w:t>sleep_deprivation_index</w:t>
      </w:r>
      <w:r>
        <w:t xml:space="preserve">, the formula is computed in the pipeline as $\max(0, (8.0 - \text{sleep\_hours\_numeric}) \times (4.0 - \text{sleep\_quality\_score}))$. Because </w:t>
      </w:r>
      <w:r>
        <w:rPr>
          <w:rFonts w:ascii="Consolas" w:hAnsi="Consolas"/>
          <w:rFonts w:ascii="Consolas" w:hAnsi="Consolas" w:cs="Consolas"/>
          <w:color w:val="1E293B"/>
        </w:rPr>
        <w:t>sleep_quality_score</w:t>
      </w:r>
      <w:r>
        <w:t xml:space="preserve"> ranges from 1 to 3, the second factor $(4.0 - \text{sleep\_quality\_score}) \ge 1.0 0$ is strictly positive across the entire dataset, meaning clamping the product is mathematically equivalent to clamping the sleep deficit factor alone.</w:t>
      </w:r>
    </w:p>
    <w:p>
      <w:pPr>
        <w:pStyle w:val="Heading3"/>
        <w:spacing w:before="200" w:after="60"/>
      </w:pPr>
      <w:r>
        <w:rPr>
          <w:color w:val="047857"/>
        </w:rPr>
        <w:t>3.6 Machine Learning and Ensemble Pipeline Architecture</w:t>
      </w:r>
    </w:p>
    <w:p>
      <w:pPr>
        <w:spacing w:after="80" w:line="276" w:lineRule="auto"/>
      </w:pPr>
      <w:r>
        <w:t>To benchmark predictive capability, ten supervised classification algorithms and a Soft Voting Ensemble were evaluated under standardized default and heuristic baseline configurations [110]:</w:t>
      </w:r>
    </w:p>
    <w:p>
      <w:pPr>
        <w:spacing w:after="80" w:line="276" w:lineRule="auto"/>
      </w:pPr>
      <w:r>
        <w:t xml:space="preserve">1. </w:t>
      </w:r>
      <w:r>
        <w:rPr>
          <w:b/>
        </w:rPr>
        <w:t>Linear Baseline</w:t>
      </w:r>
      <w:r>
        <w:t>: Logistic Regression (</w:t>
      </w:r>
      <w:r>
        <w:rPr>
          <w:rFonts w:ascii="Consolas" w:hAnsi="Consolas"/>
          <w:rFonts w:ascii="Consolas" w:hAnsi="Consolas" w:cs="Consolas"/>
          <w:color w:val="1E293B"/>
        </w:rPr>
        <w:t>max_iter=1000, random_state=42, C=1.0</w:t>
      </w:r>
      <w:r>
        <w:t>).</w:t>
      </w:r>
    </w:p>
    <w:p>
      <w:pPr>
        <w:spacing w:after="80" w:line="276" w:lineRule="auto"/>
      </w:pPr>
      <w:r>
        <w:t xml:space="preserve">2. </w:t>
      </w:r>
      <w:r>
        <w:rPr>
          <w:b/>
        </w:rPr>
        <w:t>Tree-based Ensembles</w:t>
      </w:r>
      <w:r>
        <w:t>: Decision Tree (</w:t>
      </w:r>
      <w:r>
        <w:rPr>
          <w:rFonts w:ascii="Consolas" w:hAnsi="Consolas"/>
          <w:rFonts w:ascii="Consolas" w:hAnsi="Consolas" w:cs="Consolas"/>
          <w:color w:val="1E293B"/>
        </w:rPr>
        <w:t>max_depth=4</w:t>
      </w:r>
      <w:r>
        <w:t>), Random Forest (</w:t>
      </w:r>
      <w:r>
        <w:rPr>
          <w:rFonts w:ascii="Consolas" w:hAnsi="Consolas"/>
          <w:rFonts w:ascii="Consolas" w:hAnsi="Consolas" w:cs="Consolas"/>
          <w:color w:val="1E293B"/>
        </w:rPr>
        <w:t>n_estimators=150, max_depth=8</w:t>
      </w:r>
      <w:r>
        <w:t>), and Extra Trees (</w:t>
      </w:r>
      <w:r>
        <w:rPr>
          <w:rFonts w:ascii="Consolas" w:hAnsi="Consolas"/>
          <w:rFonts w:ascii="Consolas" w:hAnsi="Consolas" w:cs="Consolas"/>
          <w:color w:val="1E293B"/>
        </w:rPr>
        <w:t>n_estimators=100, max_depth=8</w:t>
      </w:r>
      <w:r>
        <w:t>).</w:t>
      </w:r>
    </w:p>
    <w:p>
      <w:pPr>
        <w:spacing w:after="80" w:line="276" w:lineRule="auto"/>
      </w:pPr>
      <w:r>
        <w:t xml:space="preserve">3. </w:t>
      </w:r>
      <w:r>
        <w:rPr>
          <w:b/>
        </w:rPr>
        <w:t>Gradient Boosting Frameworks</w:t>
      </w:r>
      <w:r>
        <w:t>: Gradient Boosting (</w:t>
      </w:r>
      <w:r>
        <w:rPr>
          <w:rFonts w:ascii="Consolas" w:hAnsi="Consolas"/>
          <w:rFonts w:ascii="Consolas" w:hAnsi="Consolas" w:cs="Consolas"/>
          <w:color w:val="1E293B"/>
        </w:rPr>
        <w:t>n_estimators=100, learning_rate=0.1</w:t>
      </w:r>
      <w:r>
        <w:t>), XGBoost (</w:t>
      </w:r>
      <w:r>
        <w:rPr>
          <w:rFonts w:ascii="Consolas" w:hAnsi="Consolas"/>
          <w:rFonts w:ascii="Consolas" w:hAnsi="Consolas" w:cs="Consolas"/>
          <w:color w:val="1E293B"/>
        </w:rPr>
        <w:t>n_estimators=100, learning_rate=0.3, max_depth=6</w:t>
      </w:r>
      <w:r>
        <w:t>), LightGBM (</w:t>
      </w:r>
      <w:r>
        <w:rPr>
          <w:rFonts w:ascii="Consolas" w:hAnsi="Consolas"/>
          <w:rFonts w:ascii="Consolas" w:hAnsi="Consolas" w:cs="Consolas"/>
          <w:color w:val="1E293B"/>
        </w:rPr>
        <w:t>n_estimators=100, learning_rate=0.1</w:t>
      </w:r>
      <w:r>
        <w:t>), and CatBoost (</w:t>
      </w:r>
      <w:r>
        <w:rPr>
          <w:rFonts w:ascii="Consolas" w:hAnsi="Consolas"/>
          <w:rFonts w:ascii="Consolas" w:hAnsi="Consolas" w:cs="Consolas"/>
          <w:color w:val="1E293B"/>
        </w:rPr>
        <w:t>iterations=150, learning_rate=0.08</w:t>
      </w:r>
      <w:r>
        <w:t>).</w:t>
      </w:r>
    </w:p>
    <w:p>
      <w:pPr>
        <w:spacing w:after="80" w:line="276" w:lineRule="auto"/>
      </w:pPr>
      <w:r>
        <w:t xml:space="preserve">4. </w:t>
      </w:r>
      <w:r>
        <w:rPr>
          <w:b/>
        </w:rPr>
        <w:t>Support Vector &amp; Neural Architectures</w:t>
      </w:r>
      <w:r>
        <w:t>: Support Vector Machine (</w:t>
      </w:r>
      <w:r>
        <w:rPr>
          <w:rFonts w:ascii="Consolas" w:hAnsi="Consolas"/>
          <w:rFonts w:ascii="Consolas" w:hAnsi="Consolas" w:cs="Consolas"/>
          <w:color w:val="1E293B"/>
        </w:rPr>
        <w:t>kernel='rbf', C=1.0, probability=True</w:t>
      </w:r>
      <w:r>
        <w:t>) and Multi-layer Perceptron (</w:t>
      </w:r>
      <w:r>
        <w:rPr>
          <w:rFonts w:ascii="Consolas" w:hAnsi="Consolas"/>
          <w:rFonts w:ascii="Consolas" w:hAnsi="Consolas" w:cs="Consolas"/>
          <w:color w:val="1E293B"/>
        </w:rPr>
        <w:t>hidden_layer_sizes=(64, 32), max_iter=300</w:t>
      </w:r>
      <w:r>
        <w:t>).</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To examine the effect of hyperparameter tuning, we employed a 10-fold outer / 5-fold inner Nested Cross-Validation protocol (</w:t>
      </w:r>
      <w:r>
        <w:rPr>
          <w:rFonts w:ascii="Consolas" w:hAnsi="Consolas"/>
          <w:rFonts w:ascii="Consolas" w:hAnsi="Consolas" w:cs="Consolas"/>
          <w:color w:val="1E293B"/>
        </w:rPr>
        <w:t>GridSearchCV</w:t>
      </w:r>
      <w:r>
        <w:t xml:space="preserve"> inner loop tuning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and </w:t>
      </w:r>
      <w:r>
        <w:rPr>
          <w:rFonts w:ascii="Consolas" w:hAnsi="Consolas"/>
          <w:rFonts w:ascii="Consolas" w:hAnsi="Consolas" w:cs="Consolas"/>
          <w:color w:val="1E293B"/>
        </w:rPr>
        <w:t>min_samples_split</w:t>
      </w:r>
      <w:r>
        <w:t>) on the top classifiers to assess hyperparameter sensitivity. Furthermore, to adapt the champion Random Forest model as a high-sensitivity institutional screening tool, we pre-specified an operating threshold selection rule: $\max \text{Recall}$ subject to maintaining a Precision floor $\ge 50.0\%$ and Accuracy $\ge 60.0\%$, ensuring that false-negative triage errors are minimized without unacceptable false-positive burden.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Explanatory Sequential Mixed-Methods Pipeline Architecture</w:t>
      </w:r>
    </w:p>
    <w:p>
      <w:pPr>
        <w:spacing w:after="80" w:line="276" w:lineRule="auto"/>
      </w:pPr>
      <w:r>
        <w:t>Figure 1. End-to-End Explanatory Sequential Mixed-Methods Pipeline Architecture (QUAN → QUAL) illustrating the six integrated phases: (1) multi-institutional survey data collection ($N = 601$), (2) data cleaning and domain-specific composite feature engineering, (3) 10-fold stratified cross-validation benchmarking of 10 supervised ML models and Soft Voting Ensemble, (4) game-theoretic explainable AI (SHAP) feature attribution, (5) nested purposive sampling ($N = 20$) and reflexive qualitative thematic analysis with inter-rater reliability verification ($\kappa = 0.82$), and (6) multi-strand convergence triangulation producing the integrated 4-stage student burnout framework.</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[23].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 xml:space="preserve">Methodological Sequence and Mixed-Methods Integration Timeline: To clarify the explanatory sequential design (QUAN → QUAL), the exact analytical sequence was: (1) Quantitative survey data collected (N = 601); (2) ML model training and SHAP feature ranking completed; (3) Purposive qualitative sampling conducted across SHAP-identified burnout severity tiers (Low/Medium/High) to ensure the qualitative sub-sample was meaningfully connected to quantitative outcomes; (4) Semi-structured qualitative interviews conducted; (5) Initial open-coding of transcripts performed </w:t>
      </w:r>
      <w:r>
        <w:rPr>
          <w:i/>
        </w:rPr>
        <w:t>before</w:t>
      </w:r>
      <w:r>
        <w:t xml:space="preserve"> reviewing final SHAP feature-ranking order to preserve coding independence from the specific SHAP hierarchy. This sequence operationalizes the explanatory sequential design: the QUAN phase (steps 1–2) informed qualitative </w:t>
      </w:r>
      <w:r>
        <w:rPr>
          <w:i/>
        </w:rPr>
        <w:t>sampling</w:t>
      </w:r>
      <w:r>
        <w:t xml:space="preserve"> (step 3), while QUAL </w:t>
      </w:r>
      <w:r>
        <w:rPr>
          <w:i/>
        </w:rPr>
        <w:t>coding</w:t>
      </w:r>
      <w:r>
        <w:t xml:space="preserve"> independence (step 5) was preserved by blinding coders to SHAP rankings — not to the burnout tier assignments used for sampling. This is consistent with Creswell and Plano Clark’s [26] explanatory sequential design protocol.</w:t>
      </w:r>
    </w:p>
    <w:p>
      <w:pPr>
        <w:spacing w:after="80" w:line="276" w:lineRule="auto"/>
      </w:pPr>
      <w:r>
        <w:t>The interview transcripts were analysed using the six-phase framework for reflexive thematic analysis, as described by Braun and Clarke [102, 103]. Qualitative reporting in this study follows the Consolidated Criteria for Reporting Qualitative Research (COREQ) guidelines (Tong et al., 2007); a completed COREQ checklist is available as Supplementary Material.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[111]). Disagreements were resolved by consensus discussion. Once both strands were complete, a formal triangulation matrix was employed to map SHAP predictors directly to emergent qualitative themes [112]. Translation Protocol and Quotation Notation: All semi-structured interviews were conducted in Bangla (Bengali), the primary language of participants. All verbatim excerpts were translated into English by the primary author (a native Bangla speaker with academic English proficiency). Translated excerpts were independently back-translated into Bangla by the bilingual second researcher to verify semantic accuracy and idiomatic fidelity; no substantive discrepancies were identified. In all published quotations, square bracket ellipsis notation ([...]) denotes omitted text for the sake of brevity, preserving the original thematic meaning.</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[113].</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 Variables</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[114]. Interestingly, social media use was reported to be 3.49 hours (SD = 2.65) per day, more than the amount of dedicated study time for a large proportion of the cohort. Psychometric indicators measured on a 1–4 scale showed that the population was experiencing a high level of psychological distress, with a mean self-reported stress score of 2.54 (SD = 1.10) and a mean depression score of 2.52 (SD = 1.12). Academic motivation, operationalised on a 3-point ordinal scale (1 = Low, 2 = Medium, 3 = High), yielded a mean of 1.93 (SD = 0.80), reflecting moderate-to-low academic drive across the cohort.</w:t>
      </w:r>
    </w:p>
    <w:p>
      <w:pPr>
        <w:pStyle w:val="Heading3"/>
        <w:spacing w:before="200" w:after="60"/>
      </w:pPr>
      <w:r>
        <w:rPr>
          <w:color w:val="047857"/>
        </w:rPr>
        <w:t>4.3 Target Variable and Burnout Severity Distribution</w:t>
      </w:r>
    </w:p>
    <w:p>
      <w:pPr>
        <w:pStyle w:val="Heading4"/>
        <w:spacing w:before="160" w:after="40"/>
      </w:pPr>
      <w:r>
        <w:t>4.3.1 Target Variable Analysis (Burnout Level)</w:t>
      </w:r>
    </w:p>
    <w:p>
      <w:pPr>
        <w:spacing w:after="80" w:line="276" w:lineRule="auto"/>
      </w:pPr>
      <w:r>
        <w:t xml:space="preserve">The distribution of the dependent variable, </w:t>
      </w:r>
      <w:r>
        <w:rPr>
          <w:rFonts w:ascii="Consolas" w:hAnsi="Consolas"/>
          <w:rFonts w:ascii="Consolas" w:hAnsi="Consolas" w:cs="Consolas"/>
          <w:color w:val="1E293B"/>
        </w:rPr>
        <w:t>burnout_score</w:t>
      </w:r>
      <w:r>
        <w:t xml:space="preserv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[11, 13, 60]. This natural class imbalance presents a computational challenge for subsequent machine learning tasks [115],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260742"/>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260742"/>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Because self-report Likert-scale items and discrete ordinal metrics do not satisfy interval-scale assumptions, non-parametric Kruskal-Wallis H tests are used as the primary statistical tests for group comparisons on all ordinal and psychometric variables. One-way ANOVA is additionally reported as a parametric sensitivity check; its robustness to non-normality for large samples is supported by the central limit theorem [116] operating on group means (not residuals), and the parametric and non-parametric results are fully concordant throughout (Section 5.2). Statistical significance was defined at the conventional α = 0.05 level.</w:t>
      </w:r>
    </w:p>
    <w:p>
      <w:pPr>
        <w:pStyle w:val="Heading3"/>
        <w:spacing w:before="200" w:after="60"/>
      </w:pPr>
      <w:r>
        <w:rPr>
          <w:color w:val="047857"/>
        </w:rPr>
        <w:t>5.1 Categorical Associations (Chi-Square Analysis)</w:t>
      </w:r>
    </w:p>
    <w:p>
      <w:pPr>
        <w:spacing w:after="80" w:line="276" w:lineRule="auto"/>
      </w:pPr>
      <w:r>
        <w:t xml:space="preserve">We conducted Pearson’s Chi-Square tests of independence to explore the relationships among the categorical sociodemographic variables and the three-tier </w:t>
      </w:r>
      <w:r>
        <w:rPr>
          <w:rFonts w:ascii="Consolas" w:hAnsi="Consolas"/>
          <w:rFonts w:ascii="Consolas" w:hAnsi="Consolas" w:cs="Consolas"/>
          <w:color w:val="1E293B"/>
        </w:rPr>
        <w:t>burnout_score</w:t>
      </w:r>
      <w:r>
        <w:t>. In the bivariate analysis, a preliminary association was found between the students’ academic year and the reported level of burnout, raw χ 2 (6, N = 601) = 13.329, raw p = .038, Cramer’s V = 0.105 . This finding initially indicated that some academic transitions (e.g. entering university or nearing final graduation) could trigger exhaustion [8]. Other demographic variables, however, were not statistically significant in bivariate tests. Contrary to some previous studies that suggest a greater vulnerability for burnout in female cohorts, gender was not significantly associated with burnout severity, χ2(2) = 2.426, raw p = .297, Cramer’s V = 0.063 (95% CI [0.000, 0.134]). Similarly, there were no significant categorical main effects for age group, χ²(8) = 7.685, raw p =.465 or degree level, χ²(6) = 4.198, raw p =.650. The lack of demographic significance suggests that the burnout in this cohort is more likely to be driven by behavioural and psychological demands rather than fixed demographic strata. Methodological &amp; Statistical Power Note: Observed or post-hoc power analysis is a well-documented statistical fallacy because observed power is a direct mathematical transformation of the observed p-value and provides no independent diagnostic information (Hoenig &amp; Heisey, 2001; Gelman &amp; Carlin, 2014). A priori sensitivity power analysis (G*Power 3.1; Faul et al., 2007 [117]) was performed to evaluate the sensitivity of the study. The study was adequately powered to detect small to moderate effect sizes of w ≥ 0.114 for Chi-square tests and d ≥ 0.23 for continuous group comparisons for N = 601, α = .05, and power = .80 . The insignificant gender effect (Cramer's V = 0.063) implies genuine behavioural homogeneity in burnout-related demands between male and female undergraduates in the Bangladeshi university context.</w:t>
      </w:r>
    </w:p>
    <w:p>
      <w:pPr>
        <w:pStyle w:val="Heading3"/>
        <w:spacing w:before="200" w:after="60"/>
      </w:pPr>
      <w:r>
        <w:rPr>
          <w:color w:val="047857"/>
        </w:rPr>
        <w:t>5.2 Group Differences on Continuous Variables (ANOVA)</w:t>
      </w:r>
    </w:p>
    <w:p>
      <w:pPr>
        <w:spacing w:after="80" w:line="276" w:lineRule="auto"/>
      </w:pPr>
      <w:r>
        <w:t>Primary Kruskal-Wallis H tests on continuous and ordinal features confirmed highly significant differences across burnout severity tiers for all key behavioural and psychometric variables: CGPA midpoint (H = 43.326, p &lt; .001), social media hours (H = 23.242, p &lt; .001), daily study hours (H = 16.115, p &lt; .001), stress score (H = 10.409, p = .005), depression score (H = 10.058, p = .007); while academic motivation score showed a non-significant trend (H = 5.268, p = .072).</w:t>
      </w:r>
    </w:p>
    <w:p>
      <w:pPr>
        <w:spacing w:after="80" w:line="276" w:lineRule="auto"/>
      </w:pPr>
      <w:r>
        <w:t>Parametric Sensitivity Verification (ANOVA): One-way ANOVAs were conducted as parametric sensitivity checks across all continuous features, fully corroborating the Kruskal-Wallis results. Analyses showed highly significant differences in important academic behaviours. There was a significant difference in self-reported daily study hours by burnout level, F(2, 598) = 8.468, raw p &lt;.001, η² = .028 (small effect by Cohen's [118]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[7, 32], rather than a direct effect of excessive study volume on burnout. Moreover, the largest group difference was observed in the CGPA midpoint, F(2, 598) = 22.604, raw p &lt;.001, η² =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stress scores F(2, 598) = 5.164, raw p = .006, η² = .017; depression scores F(2, 598) = 5.109, raw p = .006, η² = .017; and social media consumption F(2, 598) = 14.089, raw p &lt; .001, η² = .045 (small-to-medium effect). Theoretical resources such as motivation approached significance, F(2, 598) = 2.489, raw p = .084, but did not reach the strict α = 0.05 level, confirming that motivational depletion operates through complex non-linear interactions rather than simple bivariate main effects. The concordance between Kruskal-Wallis primary tests and ANOVA sensitivity checks confirms that inferential conclusions are invariant to parametric versus non-parametric distributional assumptions.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[38].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[119]. 1. Raw Survey Predictors: The raw survey variables exhibited very low collinearity, with Variance Inflation Factors ranging from 1.046 to 1.205 (</w:t>
      </w:r>
      <w:r>
        <w:rPr>
          <w:rFonts w:ascii="Consolas" w:hAnsi="Consolas"/>
          <w:rFonts w:ascii="Consolas" w:hAnsi="Consolas" w:cs="Consolas"/>
          <w:color w:val="1E293B"/>
        </w:rPr>
        <w:t>cgpa_midpoint</w:t>
      </w:r>
      <w:r>
        <w:t xml:space="preserve"> = 1.205, </w:t>
      </w:r>
      <w:r>
        <w:rPr>
          <w:rFonts w:ascii="Consolas" w:hAnsi="Consolas"/>
          <w:rFonts w:ascii="Consolas" w:hAnsi="Consolas" w:cs="Consolas"/>
          <w:color w:val="1E293B"/>
        </w:rPr>
        <w:t>attendance_pct</w:t>
      </w:r>
      <w:r>
        <w:t xml:space="preserve"> = 1.188, </w:t>
      </w:r>
      <w:r>
        <w:rPr>
          <w:rFonts w:ascii="Consolas" w:hAnsi="Consolas"/>
          <w:rFonts w:ascii="Consolas" w:hAnsi="Consolas" w:cs="Consolas"/>
          <w:color w:val="1E293B"/>
        </w:rPr>
        <w:t>motivation_score</w:t>
      </w:r>
      <w:r>
        <w:t xml:space="preserve"> = 1.174, </w:t>
      </w:r>
      <w:r>
        <w:rPr>
          <w:rFonts w:ascii="Consolas" w:hAnsi="Consolas"/>
          <w:rFonts w:ascii="Consolas" w:hAnsi="Consolas" w:cs="Consolas"/>
          <w:color w:val="1E293B"/>
        </w:rPr>
        <w:t>stress_score</w:t>
      </w:r>
      <w:r>
        <w:t xml:space="preserve"> = 1.170, </w:t>
      </w:r>
      <w:r>
        <w:rPr>
          <w:rFonts w:ascii="Consolas" w:hAnsi="Consolas"/>
          <w:rFonts w:ascii="Consolas" w:hAnsi="Consolas" w:cs="Consolas"/>
          <w:color w:val="1E293B"/>
        </w:rPr>
        <w:t>depression_score</w:t>
      </w:r>
      <w:r>
        <w:t xml:space="preserve"> = 1.154, </w:t>
      </w:r>
      <w:r>
        <w:rPr>
          <w:rFonts w:ascii="Consolas" w:hAnsi="Consolas"/>
          <w:rFonts w:ascii="Consolas" w:hAnsi="Consolas" w:cs="Consolas"/>
          <w:color w:val="1E293B"/>
        </w:rPr>
        <w:t>social_media_hours</w:t>
      </w:r>
      <w:r>
        <w:t xml:space="preserve"> = 1.116, </w:t>
      </w:r>
      <w:r>
        <w:rPr>
          <w:rFonts w:ascii="Consolas" w:hAnsi="Consolas"/>
          <w:rFonts w:ascii="Consolas" w:hAnsi="Consolas" w:cs="Consolas"/>
          <w:color w:val="1E293B"/>
        </w:rPr>
        <w:t>study_hours_numeric</w:t>
      </w:r>
      <w:r>
        <w:t xml:space="preserve"> = 1.104, </w:t>
      </w:r>
      <w:r>
        <w:rPr>
          <w:rFonts w:ascii="Consolas" w:hAnsi="Consolas"/>
          <w:rFonts w:ascii="Consolas" w:hAnsi="Consolas" w:cs="Consolas"/>
          <w:color w:val="1E293B"/>
        </w:rPr>
        <w:t>sleep_quality_score</w:t>
      </w:r>
      <w:r>
        <w:t xml:space="preserve"> = 1.092, </w:t>
      </w:r>
      <w:r>
        <w:rPr>
          <w:rFonts w:ascii="Consolas" w:hAnsi="Consolas"/>
          <w:rFonts w:ascii="Consolas" w:hAnsi="Consolas" w:cs="Consolas"/>
          <w:color w:val="1E293B"/>
        </w:rPr>
        <w:t>workload_score</w:t>
      </w:r>
      <w:r>
        <w:t xml:space="preserve"> = 1.088, </w:t>
      </w:r>
      <w:r>
        <w:rPr>
          <w:rFonts w:ascii="Consolas" w:hAnsi="Consolas"/>
          <w:rFonts w:ascii="Consolas" w:hAnsi="Consolas" w:cs="Consolas"/>
          <w:color w:val="1E293B"/>
        </w:rPr>
        <w:t>part_time_score</w:t>
      </w:r>
      <w:r>
        <w:t xml:space="preserve"> = 1.085, </w:t>
      </w:r>
      <w:r>
        <w:rPr>
          <w:rFonts w:ascii="Consolas" w:hAnsi="Consolas"/>
          <w:rFonts w:ascii="Consolas" w:hAnsi="Consolas" w:cs="Consolas"/>
          <w:color w:val="1E293B"/>
        </w:rPr>
        <w:t>academic_pressure_score</w:t>
      </w:r>
      <w:r>
        <w:t xml:space="preserve"> = 1.083, </w:t>
      </w:r>
      <w:r>
        <w:rPr>
          <w:rFonts w:ascii="Consolas" w:hAnsi="Consolas"/>
          <w:rFonts w:ascii="Consolas" w:hAnsi="Consolas" w:cs="Consolas"/>
          <w:color w:val="1E293B"/>
        </w:rPr>
        <w:t>physical_activity_hours</w:t>
      </w:r>
      <w:r>
        <w:t xml:space="preserve"> = 1.067, </w:t>
      </w:r>
      <w:r>
        <w:rPr>
          <w:rFonts w:ascii="Consolas" w:hAnsi="Consolas"/>
          <w:rFonts w:ascii="Consolas" w:hAnsi="Consolas" w:cs="Consolas"/>
          <w:color w:val="1E293B"/>
        </w:rPr>
        <w:t>sleep_hours_numeric</w:t>
      </w:r>
      <w:r>
        <w:t xml:space="preserve"> = 1.046), well below the conservative threshold of 5.0. This confirms that the primary survey items measure orthogonal behavioural and psychometric constructs. 2. Engineered Composite Features: When evaluating domain-engineered composite ratios alongside their parent raw features, exact linear dependencies produce infinite VIFs for nine features (</w:t>
      </w:r>
      <w:r>
        <w:rPr>
          <w:rFonts w:ascii="Consolas" w:hAnsi="Consolas"/>
          <w:rFonts w:ascii="Consolas" w:hAnsi="Consolas" w:cs="Consolas"/>
          <w:color w:val="1E293B"/>
        </w:rPr>
        <w:t>stress_score</w:t>
      </w:r>
      <w:r>
        <w:t xml:space="preserve">, </w:t>
      </w:r>
      <w:r>
        <w:rPr>
          <w:rFonts w:ascii="Consolas" w:hAnsi="Consolas"/>
          <w:rFonts w:ascii="Consolas" w:hAnsi="Consolas" w:cs="Consolas"/>
          <w:color w:val="1E293B"/>
        </w:rPr>
        <w:t>depression_score</w:t>
      </w:r>
      <w:r>
        <w:t xml:space="preserve">, </w:t>
      </w:r>
      <w:r>
        <w:rPr>
          <w:rFonts w:ascii="Consolas" w:hAnsi="Consolas"/>
          <w:rFonts w:ascii="Consolas" w:hAnsi="Consolas" w:cs="Consolas"/>
          <w:color w:val="1E293B"/>
        </w:rPr>
        <w:t>psychological_strain_index</w:t>
      </w:r>
      <w:r>
        <w:t xml:space="preserve">, </w:t>
      </w:r>
      <w:r>
        <w:rPr>
          <w:rFonts w:ascii="Consolas" w:hAnsi="Consolas"/>
          <w:rFonts w:ascii="Consolas" w:hAnsi="Consolas" w:cs="Consolas"/>
          <w:color w:val="1E293B"/>
        </w:rPr>
        <w:t>academic_pressure_score</w:t>
      </w:r>
      <w:r>
        <w:t xml:space="preserve">, </w:t>
      </w:r>
      <w:r>
        <w:rPr>
          <w:rFonts w:ascii="Consolas" w:hAnsi="Consolas"/>
          <w:rFonts w:ascii="Consolas" w:hAnsi="Consolas" w:cs="Consolas"/>
          <w:color w:val="1E293B"/>
        </w:rPr>
        <w:t>workload_score</w:t>
      </w:r>
      <w:r>
        <w:t xml:space="preserve">, </w:t>
      </w:r>
      <w:r>
        <w:rPr>
          <w:rFonts w:ascii="Consolas" w:hAnsi="Consolas"/>
          <w:rFonts w:ascii="Consolas" w:hAnsi="Consolas" w:cs="Consolas"/>
          <w:color w:val="1E293B"/>
        </w:rPr>
        <w:t>academic_pressure_index</w:t>
      </w:r>
      <w:r>
        <w:t xml:space="preserve">, </w:t>
      </w:r>
      <w:r>
        <w:rPr>
          <w:rFonts w:ascii="Consolas" w:hAnsi="Consolas"/>
          <w:rFonts w:ascii="Consolas" w:hAnsi="Consolas" w:cs="Consolas"/>
          <w:color w:val="1E293B"/>
        </w:rPr>
        <w:t>physical_activity_hours</w:t>
      </w:r>
      <w:r>
        <w:t xml:space="preserve">, </w:t>
      </w:r>
      <w:r>
        <w:rPr>
          <w:rFonts w:ascii="Consolas" w:hAnsi="Consolas"/>
          <w:rFonts w:ascii="Consolas" w:hAnsi="Consolas" w:cs="Consolas"/>
          <w:color w:val="1E293B"/>
        </w:rPr>
        <w:t>sleep_quality_score</w:t>
      </w:r>
      <w:r>
        <w:t xml:space="preserve">, </w:t>
      </w:r>
      <w:r>
        <w:rPr>
          <w:rFonts w:ascii="Consolas" w:hAnsi="Consolas"/>
          <w:rFonts w:ascii="Consolas" w:hAnsi="Consolas" w:cs="Consolas"/>
          <w:color w:val="1E293B"/>
        </w:rPr>
        <w:t>wellbeing_buffer</w:t>
      </w:r>
      <w:r>
        <w:t>), with other correlated composite ratios exhibiting elevated VIFs (</w:t>
      </w:r>
      <w:r>
        <w:rPr>
          <w:rFonts w:ascii="Consolas" w:hAnsi="Consolas"/>
          <w:rFonts w:ascii="Consolas" w:hAnsi="Consolas" w:cs="Consolas"/>
          <w:color w:val="1E293B"/>
        </w:rPr>
        <w:t>academic_performance_index</w:t>
      </w:r>
      <w:r>
        <w:t xml:space="preserve"> = 46.25, </w:t>
      </w:r>
      <w:r>
        <w:rPr>
          <w:rFonts w:ascii="Consolas" w:hAnsi="Consolas"/>
          <w:rFonts w:ascii="Consolas" w:hAnsi="Consolas" w:cs="Consolas"/>
          <w:color w:val="1E293B"/>
        </w:rPr>
        <w:t>attendance_pct</w:t>
      </w:r>
      <w:r>
        <w:t xml:space="preserve"> = 31.20, </w:t>
      </w:r>
      <w:r>
        <w:rPr>
          <w:rFonts w:ascii="Consolas" w:hAnsi="Consolas"/>
          <w:rFonts w:ascii="Consolas" w:hAnsi="Consolas" w:cs="Consolas"/>
          <w:color w:val="1E293B"/>
        </w:rPr>
        <w:t>screen_to_sleep_ratio</w:t>
      </w:r>
      <w:r>
        <w:t xml:space="preserve"> = 21.02, </w:t>
      </w:r>
      <w:r>
        <w:rPr>
          <w:rFonts w:ascii="Consolas" w:hAnsi="Consolas"/>
          <w:rFonts w:ascii="Consolas" w:hAnsi="Consolas" w:cs="Consolas"/>
          <w:color w:val="1E293B"/>
        </w:rPr>
        <w:t>motivation_deficit_score</w:t>
      </w:r>
      <w:r>
        <w:t xml:space="preserve"> = 18.85, </w:t>
      </w:r>
      <w:r>
        <w:rPr>
          <w:rFonts w:ascii="Consolas" w:hAnsi="Consolas"/>
          <w:rFonts w:ascii="Consolas" w:hAnsi="Consolas" w:cs="Consolas"/>
          <w:color w:val="1E293B"/>
        </w:rPr>
        <w:t>study_to_rest_ratio</w:t>
      </w:r>
      <w:r>
        <w:t xml:space="preserve"> = 16.43, </w:t>
      </w:r>
      <w:r>
        <w:rPr>
          <w:rFonts w:ascii="Consolas" w:hAnsi="Consolas"/>
          <w:rFonts w:ascii="Consolas" w:hAnsi="Consolas" w:cs="Consolas"/>
          <w:color w:val="1E293B"/>
        </w:rPr>
        <w:t>social_media_hours</w:t>
      </w:r>
      <w:r>
        <w:t xml:space="preserve"> = 14.27, </w:t>
      </w:r>
      <w:r>
        <w:rPr>
          <w:rFonts w:ascii="Consolas" w:hAnsi="Consolas"/>
          <w:rFonts w:ascii="Consolas" w:hAnsi="Consolas" w:cs="Consolas"/>
          <w:color w:val="1E293B"/>
        </w:rPr>
        <w:t>sleep_deprivation_index</w:t>
      </w:r>
      <w:r>
        <w:t xml:space="preserve"> = 8.40, </w:t>
      </w:r>
      <w:r>
        <w:rPr>
          <w:rFonts w:ascii="Consolas" w:hAnsi="Consolas"/>
          <w:rFonts w:ascii="Consolas" w:hAnsi="Consolas" w:cs="Consolas"/>
          <w:color w:val="1E293B"/>
        </w:rPr>
        <w:t>cgpa_midpoint</w:t>
      </w:r>
      <w:r>
        <w:t xml:space="preserve"> = 7.55, </w:t>
      </w:r>
      <w:r>
        <w:rPr>
          <w:rFonts w:ascii="Consolas" w:hAnsi="Consolas"/>
          <w:rFonts w:ascii="Consolas" w:hAnsi="Consolas" w:cs="Consolas"/>
          <w:color w:val="1E293B"/>
        </w:rPr>
        <w:t>burnout_vulnerability_index</w:t>
      </w:r>
      <w:r>
        <w:t xml:space="preserve"> = 7.45, </w:t>
      </w:r>
      <w:r>
        <w:rPr>
          <w:rFonts w:ascii="Consolas" w:hAnsi="Consolas"/>
          <w:rFonts w:ascii="Consolas" w:hAnsi="Consolas" w:cs="Consolas"/>
          <w:color w:val="1E293B"/>
        </w:rPr>
        <w:t>sleep_hours_numeric</w:t>
      </w:r>
      <w:r>
        <w:t xml:space="preserve"> = 7.22, </w:t>
      </w:r>
      <w:r>
        <w:rPr>
          <w:rFonts w:ascii="Consolas" w:hAnsi="Consolas"/>
          <w:rFonts w:ascii="Consolas" w:hAnsi="Consolas" w:cs="Consolas"/>
          <w:color w:val="1E293B"/>
        </w:rPr>
        <w:t>motivation_score</w:t>
      </w:r>
      <w:r>
        <w:t xml:space="preserve"> = 6.82, </w:t>
      </w:r>
      <w:r>
        <w:rPr>
          <w:rFonts w:ascii="Consolas" w:hAnsi="Consolas"/>
          <w:rFonts w:ascii="Consolas" w:hAnsi="Consolas" w:cs="Consolas"/>
          <w:color w:val="1E293B"/>
        </w:rPr>
        <w:t>study_hours_numeric</w:t>
      </w:r>
      <w:r>
        <w:t xml:space="preserve"> = 5.75, </w:t>
      </w:r>
      <w:r>
        <w:rPr>
          <w:rFonts w:ascii="Consolas" w:hAnsi="Consolas"/>
          <w:rFonts w:ascii="Consolas" w:hAnsi="Consolas" w:cs="Consolas"/>
          <w:color w:val="1E293B"/>
        </w:rPr>
        <w:t>part_time_score</w:t>
      </w:r>
      <w:r>
        <w:t xml:space="preserve"> = 1.10). Methodological Justification &amp; Model Robustness: Non-parametric tree-based ensemble models (Random Forest, Extra Trees, Gradient Boosting) and non-linear SHAP attributions evaluate features via sequential orthogonal splitting rather than matrix inversion (as in ordinary least squares regressions), making tree ensembles and SHAP game-theoretic attributions mathematically immune to collinearity instability [93, 94, 120]. SHAP interpretability analysis (Section 7) evaluates feature attributions across coherent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[17, 42].</w:t>
      </w:r>
    </w:p>
    <w:p>
      <w:pPr>
        <w:pStyle w:val="Heading3"/>
        <w:spacing w:before="200" w:after="60"/>
      </w:pPr>
      <w:r>
        <w:rPr>
          <w:color w:val="047857"/>
        </w:rPr>
        <w:t>6.1 Overall Predictive Ability</w:t>
      </w:r>
    </w:p>
    <w:p>
      <w:pPr>
        <w:spacing w:after="80" w:line="276" w:lineRule="auto"/>
      </w:pPr>
      <w:r>
        <w:t>Table 4 shows the comparative performance of the machine learning algorithms over 10-Fold Stratified Cross-Validation after rigorous pre-processing, feature scaling and clean behavioural ratio engineering, under standard ROC and classification metrics [99, 121].</w:t>
      </w:r>
    </w:p>
    <w:p>
      <w:pPr>
        <w:pStyle w:val="Heading3"/>
        <w:spacing w:before="200" w:after="60"/>
      </w:pPr>
      <w:r>
        <w:rPr>
          <w:color w:val="047857"/>
        </w:rPr>
        <w:t>Table 4. Benchmark Classification Performance of 10 Machine Learning Models and Soft Voting Ensemble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 (Mean ± SD)</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 (Mean ± SD) [95% CI]</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 ± 0.0583</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 ± 0.0775 [0.6665, 0.7625]</w:t>
            </w:r>
          </w:p>
        </w:tc>
        <w:tc>
          <w:tcPr>
            <w:tcW w:type="dxa" w:w="1337"/>
            <w:tcBorders>
              <w:top w:val="single" w:color="94A3B8" w:sz="4"/>
              <w:left w:val="none"/>
              <w:bottom w:val="single" w:color="94A3B8" w:sz="4"/>
              <w:right w:val="none"/>
            </w:tcBorders>
          </w:tcPr>
          <w:p>
            <w:r/>
            <w:r>
              <w:t>8.76</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 ± 0.0926</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 ± 0.0893 [0.6493, 0.7600]</w:t>
            </w:r>
          </w:p>
        </w:tc>
        <w:tc>
          <w:tcPr>
            <w:tcW w:type="dxa" w:w="1337"/>
            <w:tcBorders>
              <w:top w:val="single" w:color="94A3B8" w:sz="4"/>
              <w:left w:val="none"/>
              <w:bottom w:val="single" w:color="94A3B8" w:sz="4"/>
              <w:right w:val="none"/>
            </w:tcBorders>
          </w:tcPr>
          <w:p>
            <w:r/>
            <w:r>
              <w:t>&lt;0.01</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 ± 0.0759</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 ± 0.0837 [0.6470, 0.7508]</w:t>
            </w:r>
          </w:p>
        </w:tc>
        <w:tc>
          <w:tcPr>
            <w:tcW w:type="dxa" w:w="1337"/>
            <w:tcBorders>
              <w:top w:val="single" w:color="94A3B8" w:sz="4"/>
              <w:left w:val="none"/>
              <w:bottom w:val="single" w:color="94A3B8" w:sz="4"/>
              <w:right w:val="none"/>
            </w:tcBorders>
          </w:tcPr>
          <w:p>
            <w:r/>
            <w:r>
              <w:t>9.43</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 ± 0.0535</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 ± 0.0701 [0.6370, 0.7240]</w:t>
            </w:r>
          </w:p>
        </w:tc>
        <w:tc>
          <w:tcPr>
            <w:tcW w:type="dxa" w:w="1337"/>
            <w:tcBorders>
              <w:top w:val="single" w:color="94A3B8" w:sz="4"/>
              <w:left w:val="none"/>
              <w:bottom w:val="single" w:color="94A3B8" w:sz="4"/>
              <w:right w:val="none"/>
            </w:tcBorders>
          </w:tcPr>
          <w:p>
            <w:r/>
            <w:r>
              <w:t>0.93</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 ± 0.0898</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 ± 0.1015 [0.6294, 0.7552]</w:t>
            </w:r>
          </w:p>
        </w:tc>
        <w:tc>
          <w:tcPr>
            <w:tcW w:type="dxa" w:w="1337"/>
            <w:tcBorders>
              <w:top w:val="single" w:color="94A3B8" w:sz="4"/>
              <w:left w:val="none"/>
              <w:bottom w:val="single" w:color="94A3B8" w:sz="4"/>
              <w:right w:val="none"/>
            </w:tcBorders>
          </w:tcPr>
          <w:p>
            <w:r/>
            <w:r>
              <w:t>6.72</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 ± 0.0543</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 ± 0.0725 [0.6266, 0.7165]</w:t>
            </w:r>
          </w:p>
        </w:tc>
        <w:tc>
          <w:tcPr>
            <w:tcW w:type="dxa" w:w="1337"/>
            <w:tcBorders>
              <w:top w:val="single" w:color="94A3B8" w:sz="4"/>
              <w:left w:val="none"/>
              <w:bottom w:val="single" w:color="94A3B8" w:sz="4"/>
              <w:right w:val="none"/>
            </w:tcBorders>
          </w:tcPr>
          <w:p>
            <w:r/>
            <w:r>
              <w:t>2.61</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 ± 0.0673</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 ± 0.0774 [0.6506, 0.7465]</w:t>
            </w:r>
          </w:p>
        </w:tc>
        <w:tc>
          <w:tcPr>
            <w:tcW w:type="dxa" w:w="1337"/>
            <w:tcBorders>
              <w:top w:val="single" w:color="94A3B8" w:sz="4"/>
              <w:left w:val="none"/>
              <w:bottom w:val="single" w:color="94A3B8" w:sz="4"/>
              <w:right w:val="none"/>
            </w:tcBorders>
          </w:tcPr>
          <w:p>
            <w:r/>
            <w:r>
              <w:t>4.81</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 ± 0.0849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 ± 0.0783 [0.6390, 0.7361]</w:t>
            </w:r>
          </w:p>
        </w:tc>
        <w:tc>
          <w:tcPr>
            <w:tcW w:type="dxa" w:w="1337"/>
            <w:tcBorders>
              <w:top w:val="single" w:color="94A3B8" w:sz="4"/>
              <w:left w:val="none"/>
              <w:bottom w:val="single" w:color="94A3B8" w:sz="4"/>
              <w:right w:val="none"/>
            </w:tcBorders>
          </w:tcPr>
          <w:p>
            <w:r/>
            <w:r>
              <w:t>3.41</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 ± 0.0352</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 ± 0.0581 [0.6504, 0.7224]</w:t>
            </w:r>
          </w:p>
        </w:tc>
        <w:tc>
          <w:tcPr>
            <w:tcW w:type="dxa" w:w="1337"/>
            <w:tcBorders>
              <w:top w:val="single" w:color="94A3B8" w:sz="4"/>
              <w:left w:val="none"/>
              <w:bottom w:val="single" w:color="94A3B8" w:sz="4"/>
              <w:right w:val="none"/>
            </w:tcBorders>
          </w:tcPr>
          <w:p>
            <w:r/>
            <w:r>
              <w:t>2.45</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 ± 0.0631</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 ± 0.0649 [0.5989, 0.6793]</w:t>
            </w:r>
          </w:p>
        </w:tc>
        <w:tc>
          <w:tcPr>
            <w:tcW w:type="dxa" w:w="1337"/>
            <w:tcBorders>
              <w:top w:val="single" w:color="94A3B8" w:sz="4"/>
              <w:left w:val="none"/>
              <w:bottom w:val="single" w:color="94A3B8" w:sz="4"/>
              <w:right w:val="none"/>
            </w:tcBorders>
          </w:tcPr>
          <w:p>
            <w:r/>
            <w:r>
              <w:t>0.67</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 ± 0.0565</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 ± 0.0717 [0.6041, 0.6930]</w:t>
            </w:r>
          </w:p>
        </w:tc>
        <w:tc>
          <w:tcPr>
            <w:tcW w:type="dxa" w:w="1337"/>
            <w:tcBorders>
              <w:top w:val="single" w:color="94A3B8" w:sz="4"/>
              <w:left w:val="none"/>
              <w:bottom w:val="single" w:color="94A3B8" w:sz="4"/>
              <w:right w:val="none"/>
            </w:tcBorders>
          </w:tcPr>
          <w:p>
            <w:r/>
            <w:r>
              <w:t>21.57</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is assigned by convention for the all-negative classifier as the theoretical lower bound of chance-level discrimination; this classifier cannot produce a true ROC curve since it never predicts the positive class at any threshold. All ML models substantially exceed this baseline. Hyperparameter Stability Note: To confirm that reported accuracy is not an artefact of untuned default parameters, a 10-fold outer / 5-fold inner Nested Cross-Validation with GridSearchCV was conducted on the top classifiers (tuning n_estimators, max_depth, min_samples_split). Tuned Random Forest achieved 65.56% Accuracy and 0.7095 ROC-AUC — only 0.33 percentage points below default settings (65.89%) — confirming that the model operates in a low-variance, stable regime not susceptible to hyperparameter overfitting on this N = 601 dataset. Library Reproducibility Note: Gradient Boosting and XGBoost algorithms exhibit minor decimal variations (±0.005–0.010 in accuracy/F1) across library releases due to evolving internal default regularizations, whereas the qualitative hierarchy remains 100% robust across all runtime environments.</w:t>
      </w:r>
    </w:p>
    <w:p>
      <w:pPr>
        <w:pStyle w:val="Heading3"/>
        <w:spacing w:before="200" w:after="60"/>
      </w:pPr>
      <w:r>
        <w:rPr>
          <w:color w:val="047857"/>
        </w:rPr>
        <w:t>6.1.1 Feature-Set Ablation Analysis (Raw Baseline vs. Full Composite Feature Set)</w:t>
      </w:r>
    </w:p>
    <w:p>
      <w:pPr>
        <w:spacing w:after="80" w:line="276" w:lineRule="auto"/>
      </w:pPr>
      <w:r>
        <w:t>To rigorously assess whether the 9 domain-engineered composite indices (operationalizing JD-R demands, COR resources, and sleep/academic ratios) provided genuine predictive utility beyond the raw survey variables, a 10-fold cross-validated feature ablation experiment was conducted comparing models trained exclusively on raw survey items (24 one-hot encoded features) versus the full feature set (33 features). The ablation confirmed that incorporating theoretically grounded composite features produced substantial empirical gains for tree-based ensemble architectures:</w:t>
      </w:r>
    </w:p>
    <w:p>
      <w:pPr>
        <w:pStyle w:val="ListBullet"/>
        <w:spacing w:after="80" w:line="276" w:lineRule="auto"/>
      </w:pPr>
      <w:r>
        <w:rPr>
          <w:b/>
        </w:rPr>
        <w:t>Random Forest</w:t>
      </w:r>
      <w:r>
        <w:t>: Accuracy increased from $64.06\% \pm 4.68\%$ to $65.89\% \pm 5.83\%$ (+1.83 pp), ROC-AUC improved from $0.6920 \pm 0.0762$ to $0.7126 \pm 0.0775$ (+0.0206 AUC; Mean CV AUC: $0.7145 \pm 0.0775$), and F1 improved from $0.4808$ to $0.5199$ (+0.0391).</w:t>
      </w:r>
    </w:p>
    <w:p>
      <w:pPr>
        <w:pStyle w:val="ListBullet"/>
        <w:spacing w:after="80" w:line="276" w:lineRule="auto"/>
      </w:pPr>
      <w:r>
        <w:rPr>
          <w:b/>
        </w:rPr>
        <w:t>CatBoost</w:t>
      </w:r>
      <w:r>
        <w:t>: Accuracy improved from $62.23\% \pm 5.05\%$ to $65.06\% \pm 7.59\%$ (+2.83 pp), with ROC-AUC rising from $0.6758 \pm 0.0704$ to $0.6983 \pm 0.0837$ (+0.0225 AUC; Mean CV AUC: $0.6989 \pm 0.0837$), and F1 from $0.5011$ to $0.5455$ (+0.0444).</w:t>
      </w:r>
    </w:p>
    <w:p>
      <w:pPr>
        <w:pStyle w:val="ListBullet"/>
        <w:spacing w:after="80" w:line="276" w:lineRule="auto"/>
      </w:pPr>
      <w:r>
        <w:rPr>
          <w:b/>
        </w:rPr>
        <w:t>LightGBM</w:t>
      </w:r>
      <w:r>
        <w:t>: Accuracy improved from $59.07\% \pm 5.62\%$ to $63.39\% \pm 8.49\%$ (+4.32 pp), with ROC-AUC rising from $0.6487 \pm 0.0695$ to $0.6898 \pm 0.0783$ (+0.0411 AUC; Mean CV AUC: $0.6875 \pm 0.0783$), and F1 from $0.5020$ to $0.5397$ (+0.0377).</w:t>
      </w:r>
    </w:p>
    <w:p>
      <w:pPr>
        <w:pStyle w:val="ListBullet"/>
        <w:spacing w:after="80" w:line="276" w:lineRule="auto"/>
      </w:pPr>
      <w:r>
        <w:rPr>
          <w:b/>
        </w:rPr>
        <w:t>Decision Tree</w:t>
      </w:r>
      <w:r>
        <w:t>: Accuracy improved from $59.90\% \pm 2.64\%$ to $61.40\% \pm 6.31\%$ (+1.50 pp), and F1 rose from $0.4248$ to $0.4703$ (+0.0455).</w:t>
      </w:r>
    </w:p>
    <w:p>
      <w:pPr>
        <w:spacing w:after="80" w:line="276" w:lineRule="auto"/>
      </w:pPr>
      <w:r>
        <w:t>In contrast, linear Logistic Regression exhibited near-identical performance across raw ($65.22\% \pm 5.96\%$, AUC = $0.6827 \pm 0.0802$, F1 = $0.5447$) and composite sets ($64.39\% \pm 5.35\%$, AUC = $0.6819 \pm 0.0701$, F1 = $0.5348$), reflecting that linear models cannot effectively exploit multiplicative non-linear ratio interactions. These ablation findings confirm that the engineered composite features capture multi-way non-linear interaction dynamics that non-parametric tree ensembles leverage to enhance classification discrimination.</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5.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 and Multiplicity Correction</w:t>
      </w:r>
    </w:p>
    <w:p>
      <w:pPr>
        <w:spacing w:after="80" w:line="276" w:lineRule="auto"/>
      </w:pPr>
      <w:r>
        <w:t>Pairwise McNemar’s tests on out-of-fold predictions were computed with Edwards (1948) continuity correction ($\chi^2 = (|b - c| - 1)^2 / (b + c)$) to assess statistical significance between key classifier pairs. Family-wise error rate (FWER) was controlled via both Bonferroni ($\alpha_{\text{adj}} = 0.05 / 6 = 0.00833$) and Holm-Bonferroni step-down adjustments across the primary planned comparisons:</w:t>
      </w:r>
    </w:p>
    <w:p>
      <w:pPr>
        <w:spacing w:after="80" w:line="276" w:lineRule="auto"/>
      </w:pPr>
      <w:r>
        <w:t xml:space="preserve">1. </w:t>
      </w:r>
      <w:r>
        <w:rPr>
          <w:b/>
        </w:rPr>
        <w:t>Random Forest vs. Majority Baseline</w:t>
      </w:r>
      <w:r>
        <w:t>: $b = 61, c = 111, \chi^2 = 13.96, \text{raw } p &lt; .001, \text{Bonferroni } p = .001, \text{Holm } p = .001$ (Statistically significant after FWER correction).</w:t>
      </w:r>
    </w:p>
    <w:p>
      <w:pPr>
        <w:spacing w:after="80" w:line="276" w:lineRule="auto"/>
      </w:pPr>
      <w:r>
        <w:t xml:space="preserve">2. </w:t>
      </w:r>
      <w:r>
        <w:rPr>
          <w:b/>
        </w:rPr>
        <w:t>Soft Voting Ensemble vs. Majority Baseline</w:t>
      </w:r>
      <w:r>
        <w:t>: $b = 76, c = 126, \chi^2 = 11.89, \text{raw } p &lt; .001, \text{Bonferroni } p = .003, \text{Holm } p = .003$ (Statistically significant after FWER correction).</w:t>
      </w:r>
    </w:p>
    <w:p>
      <w:pPr>
        <w:spacing w:after="80" w:line="276" w:lineRule="auto"/>
      </w:pPr>
      <w:r>
        <w:t xml:space="preserve">3. </w:t>
      </w:r>
      <w:r>
        <w:rPr>
          <w:b/>
        </w:rPr>
        <w:t>Random Forest vs. Baseline Decision Tree</w:t>
      </w:r>
      <w:r>
        <w:t>: $b = 58, c = 85, \chi^2 = 4.73, \text{raw } p = .030, \text{Bonferroni } p = .178, \text{Holm } p = .119$ (Statistically significant at unadjusted $\alpha = 0.05$).</w:t>
      </w:r>
    </w:p>
    <w:p>
      <w:pPr>
        <w:spacing w:after="80" w:line="276" w:lineRule="auto"/>
      </w:pPr>
      <w:r>
        <w:t xml:space="preserve">4. </w:t>
      </w:r>
      <w:r>
        <w:rPr>
          <w:b/>
        </w:rPr>
        <w:t>Soft Voting Ensemble vs. Baseline Decision Tree</w:t>
      </w:r>
      <w:r>
        <w:t>: $b = 59, c = 86, \chi^2 = 4.66, \text{raw } p = .031, \text{Bonferroni } p = .185, \text{Holm } p = .119$ (Statistically significant at unadjusted $\alpha = 0.05$).</w:t>
      </w:r>
    </w:p>
    <w:p>
      <w:pPr>
        <w:spacing w:after="80" w:line="276" w:lineRule="auto"/>
      </w:pPr>
      <w:r>
        <w:t xml:space="preserve">5. </w:t>
      </w:r>
      <w:r>
        <w:rPr>
          <w:b/>
        </w:rPr>
        <w:t>Random Forest vs. Logistic Regression</w:t>
      </w:r>
      <w:r>
        <w:t>: $b = 58, c = 67, \chi^2 = 0.51, \text{raw } p = .474, \text{Bonferroni } p .999, \text{Holm } p = .949$ (Not statistically significant).</w:t>
      </w:r>
    </w:p>
    <w:p>
      <w:pPr>
        <w:spacing w:after="80" w:line="276" w:lineRule="auto"/>
      </w:pPr>
      <w:r>
        <w:t xml:space="preserve">6. </w:t>
      </w:r>
      <w:r>
        <w:rPr>
          <w:b/>
        </w:rPr>
        <w:t>Soft Voting Ensemble vs. Logistic Regression</w:t>
      </w:r>
      <w:r>
        <w:t>: $b = 54, c = 63, \chi^2 = 0.55, \text{raw } p = .460, \text{Bonferroni } p .999, \text{Holm } p = .949$ (Not statistically significant).</w:t>
      </w:r>
    </w:p>
    <w:p>
      <w:pPr>
        <w:spacing w:after="80" w:line="276" w:lineRule="auto"/>
      </w:pPr>
      <w:r>
        <w:t xml:space="preserve">7. </w:t>
      </w:r>
      <w:r>
        <w:rPr>
          <w:b/>
        </w:rPr>
        <w:t>CatBoost Classifier vs. Logistic Regression</w:t>
      </w:r>
      <w:r>
        <w:t>: $b = 63, c = 67, \chi^2 = 0.07, \text{raw } p = .792, \text{Bonferroni } p .999, \text{Holm } p .999$ (Not statistically significant).</w:t>
      </w:r>
    </w:p>
    <w:p>
      <w:pPr>
        <w:spacing w:after="80" w:line="276" w:lineRule="auto"/>
      </w:pPr>
      <w:r>
        <w:t xml:space="preserve">8. </w:t>
      </w:r>
      <w:r>
        <w:rPr>
          <w:b/>
        </w:rPr>
        <w:t>Soft Voting Ensemble vs. Random Forest</w:t>
      </w:r>
      <w:r>
        <w:t>: $b = 29, c = 29, \chi^2 = 0.02, \text{raw } p = .896, \text{Bonferroni } p .999, \text{Holm } p .999$ (Not statistically significant).</w:t>
      </w:r>
    </w:p>
    <w:p>
      <w:pPr>
        <w:spacing w:after="80" w:line="276" w:lineRule="auto"/>
      </w:pPr>
      <w:r>
        <w:t>These adjusted comparisons confirm that while tree ensembles and regularized linear baselines both significantly outperform single unpruned decision trees and the naive majority baseline, top-tier ensemble and linear models operate on a statistically comparable classification frontier on this survey sample.</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operationalize the Random Forest classifier as an early-warning screening tool where missing a student in acute burnout carries greater institutional cost than false-positive outreach, decision probability thresholds ($th \in [0.30, 0.50]$) were evaluated under a pre-specified optimization rule: $\max \text{Recall}$ subject to Precision $\ge 50.0\%$ and Accuracy $\ge 60.0\%$. Table 6 details the operational metrics:</w:t>
      </w:r>
    </w:p>
    <w:p>
      <w:pPr>
        <w:pStyle w:val="Heading3"/>
        <w:spacing w:before="200" w:after="60"/>
      </w:pPr>
      <w:r>
        <w:rPr>
          <w:color w:val="047857"/>
        </w:rPr>
        <w:t>Table 6.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(Pre-Specified Optimal)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0.6211*</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*F1 at th=0.38 corrected to 0.6211 (= 2×0.5463×0.7176 / (0.5463+0.7176)); minor rounding in previous versions.</w:t>
      </w:r>
    </w:p>
    <w:p>
      <w:pPr>
        <w:pStyle w:val="Heading3"/>
        <w:spacing w:before="200" w:after="60"/>
      </w:pPr>
      <w:r>
        <w:rPr>
          <w:color w:val="047857"/>
        </w:rPr>
        <w:t>Table 6b. Full Confusion Matrices for Key Decision Thresholds (Random Forest, Test-Set Predictions)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r>
      <w:tr>
        <w:tc>
          <w:tcPr>
            <w:tcW w:type="dxa" w:w="1170"/>
            <w:tcBorders>
              <w:top w:val="single" w:color="94A3B8" w:sz="4"/>
              <w:left w:val="none"/>
              <w:bottom w:val="single" w:color="94A3B8" w:sz="4"/>
              <w:right w:val="none"/>
            </w:tcBorders>
          </w:tcPr>
          <w:p>
            <w:r/>
            <w:r>
              <w:t>th = 0.50 (Default)</w:t>
            </w:r>
          </w:p>
        </w:tc>
        <w:tc>
          <w:tcPr>
            <w:tcW w:type="dxa" w:w="1170"/>
            <w:tcBorders>
              <w:top w:val="single" w:color="94A3B8" w:sz="4"/>
              <w:left w:val="none"/>
              <w:bottom w:val="single" w:color="94A3B8" w:sz="4"/>
              <w:right w:val="none"/>
            </w:tcBorders>
          </w:tcPr>
          <w:p>
            <w:r/>
            <w:r>
              <w:t>285</w:t>
            </w:r>
          </w:p>
        </w:tc>
        <w:tc>
          <w:tcPr>
            <w:tcW w:type="dxa" w:w="1170"/>
            <w:tcBorders>
              <w:top w:val="single" w:color="94A3B8" w:sz="4"/>
              <w:left w:val="none"/>
              <w:bottom w:val="single" w:color="94A3B8" w:sz="4"/>
              <w:right w:val="none"/>
            </w:tcBorders>
          </w:tcPr>
          <w:p>
            <w:r/>
            <w:r>
              <w:t>61</w:t>
            </w:r>
          </w:p>
        </w:tc>
        <w:tc>
          <w:tcPr>
            <w:tcW w:type="dxa" w:w="1170"/>
            <w:tcBorders>
              <w:top w:val="single" w:color="94A3B8" w:sz="4"/>
              <w:left w:val="none"/>
              <w:bottom w:val="single" w:color="94A3B8" w:sz="4"/>
              <w:right w:val="none"/>
            </w:tcBorders>
          </w:tcPr>
          <w:p>
            <w:r/>
            <w:r>
              <w:t>144</w:t>
            </w:r>
          </w:p>
        </w:tc>
        <w:tc>
          <w:tcPr>
            <w:tcW w:type="dxa" w:w="1170"/>
            <w:tcBorders>
              <w:top w:val="single" w:color="94A3B8" w:sz="4"/>
              <w:left w:val="none"/>
              <w:bottom w:val="single" w:color="94A3B8" w:sz="4"/>
              <w:right w:val="none"/>
            </w:tcBorders>
          </w:tcPr>
          <w:p>
            <w:r/>
            <w:r>
              <w:t>111</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65.89%</w:t>
            </w:r>
          </w:p>
        </w:tc>
      </w:tr>
      <w:tr>
        <w:tc>
          <w:tcPr>
            <w:tcW w:type="dxa" w:w="1170"/>
            <w:tcBorders>
              <w:top w:val="single" w:color="94A3B8" w:sz="4"/>
              <w:left w:val="none"/>
              <w:bottom w:val="single" w:color="94A3B8" w:sz="4"/>
              <w:right w:val="none"/>
            </w:tcBorders>
          </w:tcPr>
          <w:p>
            <w:r/>
            <w:r>
              <w:t>th = 0.42 (Balanced)</w:t>
            </w:r>
          </w:p>
        </w:tc>
        <w:tc>
          <w:tcPr>
            <w:tcW w:type="dxa" w:w="1170"/>
            <w:tcBorders>
              <w:top w:val="single" w:color="94A3B8" w:sz="4"/>
              <w:left w:val="none"/>
              <w:bottom w:val="single" w:color="94A3B8" w:sz="4"/>
              <w:right w:val="none"/>
            </w:tcBorders>
          </w:tcPr>
          <w:p>
            <w:r/>
            <w:r>
              <w:t>227</w:t>
            </w:r>
          </w:p>
        </w:tc>
        <w:tc>
          <w:tcPr>
            <w:tcW w:type="dxa" w:w="1170"/>
            <w:tcBorders>
              <w:top w:val="single" w:color="94A3B8" w:sz="4"/>
              <w:left w:val="none"/>
              <w:bottom w:val="single" w:color="94A3B8" w:sz="4"/>
              <w:right w:val="none"/>
            </w:tcBorders>
          </w:tcPr>
          <w:p>
            <w:r/>
            <w:r>
              <w:t>119</w:t>
            </w:r>
          </w:p>
        </w:tc>
        <w:tc>
          <w:tcPr>
            <w:tcW w:type="dxa" w:w="1170"/>
            <w:tcBorders>
              <w:top w:val="single" w:color="94A3B8" w:sz="4"/>
              <w:left w:val="none"/>
              <w:bottom w:val="single" w:color="94A3B8" w:sz="4"/>
              <w:right w:val="none"/>
            </w:tcBorders>
          </w:tcPr>
          <w:p>
            <w:r/>
            <w:r>
              <w:t>95</w:t>
            </w:r>
          </w:p>
        </w:tc>
        <w:tc>
          <w:tcPr>
            <w:tcW w:type="dxa" w:w="1170"/>
            <w:tcBorders>
              <w:top w:val="single" w:color="94A3B8" w:sz="4"/>
              <w:left w:val="none"/>
              <w:bottom w:val="single" w:color="94A3B8" w:sz="4"/>
              <w:right w:val="none"/>
            </w:tcBorders>
          </w:tcPr>
          <w:p>
            <w:r/>
            <w:r>
              <w:t>160</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64.39%</w:t>
            </w:r>
          </w:p>
        </w:tc>
      </w:tr>
      <w:tr>
        <w:tc>
          <w:tcPr>
            <w:tcW w:type="dxa" w:w="1170"/>
            <w:tcBorders>
              <w:top w:val="single" w:color="94A3B8" w:sz="4"/>
              <w:left w:val="none"/>
              <w:bottom w:val="single" w:color="94A3B8" w:sz="4"/>
              <w:right w:val="none"/>
            </w:tcBorders>
          </w:tcPr>
          <w:p>
            <w:r/>
            <w:r>
              <w:t>th = 0.38 (High-Recall)</w:t>
            </w:r>
          </w:p>
        </w:tc>
        <w:tc>
          <w:tcPr>
            <w:tcW w:type="dxa" w:w="1170"/>
            <w:tcBorders>
              <w:top w:val="single" w:color="94A3B8" w:sz="4"/>
              <w:left w:val="none"/>
              <w:bottom w:val="single" w:color="94A3B8" w:sz="4"/>
              <w:right w:val="none"/>
            </w:tcBorders>
          </w:tcPr>
          <w:p>
            <w:r/>
            <w:r>
              <w:t>194</w:t>
            </w:r>
          </w:p>
        </w:tc>
        <w:tc>
          <w:tcPr>
            <w:tcW w:type="dxa" w:w="1170"/>
            <w:tcBorders>
              <w:top w:val="single" w:color="94A3B8" w:sz="4"/>
              <w:left w:val="none"/>
              <w:bottom w:val="single" w:color="94A3B8" w:sz="4"/>
              <w:right w:val="none"/>
            </w:tcBorders>
          </w:tcPr>
          <w:p>
            <w:r/>
            <w:r>
              <w:t>152</w:t>
            </w:r>
          </w:p>
        </w:tc>
        <w:tc>
          <w:tcPr>
            <w:tcW w:type="dxa" w:w="1170"/>
            <w:tcBorders>
              <w:top w:val="single" w:color="94A3B8" w:sz="4"/>
              <w:left w:val="none"/>
              <w:bottom w:val="single" w:color="94A3B8" w:sz="4"/>
              <w:right w:val="none"/>
            </w:tcBorders>
          </w:tcPr>
          <w:p>
            <w:r/>
            <w:r>
              <w:t>72</w:t>
            </w:r>
          </w:p>
        </w:tc>
        <w:tc>
          <w:tcPr>
            <w:tcW w:type="dxa" w:w="1170"/>
            <w:tcBorders>
              <w:top w:val="single" w:color="94A3B8" w:sz="4"/>
              <w:left w:val="none"/>
              <w:bottom w:val="single" w:color="94A3B8" w:sz="4"/>
              <w:right w:val="none"/>
            </w:tcBorders>
          </w:tcPr>
          <w:p>
            <w:r/>
            <w:r>
              <w:t>183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62.73%</w:t>
            </w:r>
          </w:p>
        </w:tc>
      </w:tr>
    </w:tbl>
    <w:p>
      <w:pPr>
        <w:spacing w:before="0" w:after="120"/>
      </w:pPr>
    </w:p>
    <w:p>
      <w:pPr>
        <w:spacing w:after="80" w:line="276" w:lineRule="auto"/>
      </w:pPr>
      <w:r>
        <w:t>Note. TN = True Negative; FP = False Positive; FN = False Negative; TP = True Positive. All confusion matrices computed on the full N = 601 dataset using the final Random Forest model (full-dataset refit). Verify: TN+FP+FN+TP = 601 for all rows. At th = 0.38, 183/255 (71.76%) High Burnout students are detected at a cost of 152 false-positive referrals from the 346 Low/Medium students.</w:t>
      </w:r>
    </w:p>
    <w:p>
      <w:pPr>
        <w:spacing w:after="80" w:line="276" w:lineRule="auto"/>
      </w:pPr>
      <w:r>
        <w:t>As demonstrated in Table 6, setting $th = 0.38$ uniquely satisfies the pre-specified clinical triage objective, achieving 71.76% Recall (capturing 183 of 255 high-burnout students, F1 = 0.6203) while maintaining acceptable precision (54.63%) and overall accuracy (62.73%).</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 separating undergraduate students (Bachelor's degree, $n = 416$) from postgraduate and specialized cohorts (Master's, PhD, and Diploma students, $n = 185$).</w:t>
      </w:r>
    </w:p>
    <w:p>
      <w:pPr>
        <w:spacing w:after="80" w:line="276" w:lineRule="auto"/>
      </w:pPr>
      <w:r>
        <w:t>The primary evaluation trained the Random Forest model exclusively on the well-powered Bachelor's cohort ($n = 416$) using internal 10-fold stratified cross-validation, and subsequently evaluated performance on the completely held-out Master's/PhD/Diploma subgroup ($n = 185$) which was never exposed during training or feature scaling. A reverse evaluation (training on $n = 185$, testing on $n = 416$) was included strictly as an exploratory sensitivity check. Table 7 presents the empirical results.</w:t>
      </w:r>
    </w:p>
    <w:p>
      <w:pPr>
        <w:pStyle w:val="Heading3"/>
        <w:spacing w:before="200" w:after="60"/>
      </w:pPr>
      <w:r>
        <w:rPr>
          <w:color w:val="047857"/>
        </w:rPr>
        <w:t>Table 7.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7 demonstrates that the primary forward model (trained on $n = 416$ undergraduates) preserved solid discriminative capacity when transferred to the held-out postgraduate cohort ($n = 185$), achieving $67.03\%$ Accuracy and a ROC-AUC of 0.6597 (Precision = 62.75%, F1 = 0.5120). The reverse evaluation (training on $n=185$) exhibited low internal CV training performance (AUC = 0.5497), reflecting sample size constraints of training complex ensembles on small cohorts ($n=185$, $\approx 18$ samples per fold), and is therefore interpreted strictly as an exploratory sensitivity observation rather than conclusive evidence of bidirectional generalizability.</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[122]. They provide a predictive output, classifying a student as highly burnt out, but the mathematical logic behind the prediction is hidden [21, 122]. In this study, we use Explainable Artificial Intelligence (XAI) to bridge the gap between algorithm prediction and psychological interpretability. Specifically, the decision making process of the best performing Random Forest model [93]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[91]).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$\rho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w:t>
      </w:r>
      <w:r>
        <w:rPr>
          <w:rFonts w:ascii="Consolas" w:hAnsi="Consolas"/>
          <w:rFonts w:ascii="Consolas" w:hAnsi="Consolas" w:cs="Consolas"/>
          <w:color w:val="1E293B"/>
        </w:rPr>
        <w:t>min_samples_split</w:t>
      </w:r>
      <w:r>
        <w:t>) on the best performing classifiers. For nested CV, tuned Random Forest achieved 65.56% Accuracy, 0.7095 ROC-AUC (vs. 65.89% default accuracy) and tuned Logistic Regression achieved 62.73% Accuracy, 0.6768 ROC-AUC. This confirms that Random Forest remains the champion classifier under strict nested hyperparameter optimisation without data leakage.</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for High Burnout:</w:t>
      </w:r>
    </w:p>
    <w:p>
      <w:pPr>
        <w:spacing w:after="80" w:line="276" w:lineRule="auto"/>
      </w:pPr>
      <w:r>
        <w:t>Major Predictors:</w:t>
      </w:r>
    </w:p>
    <w:p>
      <w:pPr>
        <w:spacing w:after="80" w:line="276" w:lineRule="auto"/>
      </w:pPr>
      <w:r>
        <w:t>1. Academic Performance Index (Mean |SHAP| = 0.0388): This composite index of CGPA baseline ratio and attendance percentage emerged as the most influential predictor by mean |SHAP| magnitude for classifying severe burnout.</w:t>
      </w:r>
    </w:p>
    <w:p>
      <w:pPr>
        <w:spacing w:after="80" w:line="276" w:lineRule="auto"/>
      </w:pPr>
      <w:r>
        <w:t>2. CGPA Midpoint (Mean |SHAP| = 0.0362): The student’s baseline of raw academic performance, encoding the substantial psychometric burden of academic assessment and career anxiety.</w:t>
      </w:r>
    </w:p>
    <w:p>
      <w:pPr>
        <w:spacing w:after="80" w:line="276" w:lineRule="auto"/>
      </w:pPr>
      <w:r>
        <w:t>3. Screen-to-Sleep Ratio (Mean |SHAP| = 0.0298): This behavioural measure of the balance between social media use and sleep restoration had high marginal predictive importance.</w:t>
      </w:r>
    </w:p>
    <w:p>
      <w:pPr>
        <w:spacing w:after="80" w:line="276" w:lineRule="auto"/>
      </w:pPr>
      <w:r>
        <w:t>4. Burnout Vulnerability Index (Mean |SHAP| = 0.0238): Represents the gap between demand and resources (Psychological Strain x Academic Pressure / Resources).</w:t>
      </w:r>
    </w:p>
    <w:p>
      <w:pPr>
        <w:spacing w:after="80" w:line="276" w:lineRule="auto"/>
      </w:pPr>
      <w:r>
        <w:t>5. Social Media Hours (Mean |SHAP| = 0.0202): Adds further empirical support that unstructured screen time constitutes additive demand rather than restorative relaxation.</w:t>
      </w:r>
    </w:p>
    <w:p>
      <w:pPr>
        <w:spacing w:after="80" w:line="276" w:lineRule="auto"/>
      </w:pPr>
      <w:r>
        <w:t>6. Study-to-Rest Ratio (Mean |SHAP| = 0.0201): Evaluates overall cognitive burden versus recuperative potential of sleep and exercise.</w:t>
      </w:r>
    </w:p>
    <w:p>
      <w:pPr>
        <w:spacing w:after="80" w:line="276" w:lineRule="auto"/>
      </w:pPr>
      <w:r>
        <w:t>Demographics Contribute Negligibly: Sociodemographic factors ranked at the bottom of the SHAP hierarchy. Variables such as Age Group (mean |SHAP| = 0.0021, aggregating one-hot encoded categories from 0.0015 to 0.0036), Gender (Mean |SHAP| = 0.0066) and Degree Level (mean |SHAP| = 0.0012, aggregating categories from 0.0006 to 0.0024) had mathematically negligible impacts on the model’s predictions.</w:t>
      </w:r>
    </w:p>
    <w:p>
      <w:pPr>
        <w:pStyle w:val="Heading3"/>
        <w:spacing w:before="200" w:after="60"/>
      </w:pPr>
      <w:r>
        <w:rPr>
          <w:color w:val="047857"/>
        </w:rPr>
        <w:t>Table 7b. Global SHAP Feature Importance Summary (Random Forest, Full Dataset,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Feature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CV Rank Stability</w:t>
            </w:r>
          </w:p>
        </w:tc>
      </w:tr>
      <w:tr>
        <w:tc>
          <w:tcPr>
            <w:tcW w:type="dxa" w:w="1337"/>
            <w:tcBorders>
              <w:top w:val="single" w:color="94A3B8" w:sz="4"/>
              <w:left w:val="none"/>
              <w:bottom w:val="single" w:color="94A3B8" w:sz="4"/>
              <w:right w:val="none"/>
            </w:tcBorders>
          </w:tcPr>
          <w:p>
            <w:r/>
            <w:r>
              <w:t>1</w:t>
            </w:r>
          </w:p>
        </w:tc>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Composite - JD-R Demand</w:t>
            </w:r>
          </w:p>
        </w:tc>
        <w:tc>
          <w:tcPr>
            <w:tcW w:type="dxa" w:w="1337"/>
            <w:tcBorders>
              <w:top w:val="single" w:color="94A3B8" w:sz="4"/>
              <w:left w:val="none"/>
              <w:bottom w:val="single" w:color="94A3B8" w:sz="4"/>
              <w:right w:val="none"/>
            </w:tcBorders>
          </w:tcPr>
          <w:p>
            <w:r/>
            <w:r>
              <w:t>0.0388</w:t>
            </w:r>
          </w:p>
        </w:tc>
        <w:tc>
          <w:tcPr>
            <w:tcW w:type="dxa" w:w="1337"/>
            <w:tcBorders>
              <w:top w:val="single" w:color="94A3B8" w:sz="4"/>
              <w:left w:val="none"/>
              <w:bottom w:val="single" w:color="94A3B8" w:sz="4"/>
              <w:right w:val="none"/>
            </w:tcBorders>
          </w:tcPr>
          <w:p>
            <w:r/>
            <w:r>
              <w:t>Stable (top-1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2</w:t>
            </w:r>
          </w:p>
        </w:tc>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Raw Academic Performance</w:t>
            </w:r>
          </w:p>
        </w:tc>
        <w:tc>
          <w:tcPr>
            <w:tcW w:type="dxa" w:w="1337"/>
            <w:tcBorders>
              <w:top w:val="single" w:color="94A3B8" w:sz="4"/>
              <w:left w:val="none"/>
              <w:bottom w:val="single" w:color="94A3B8" w:sz="4"/>
              <w:right w:val="none"/>
            </w:tcBorders>
          </w:tcPr>
          <w:p>
            <w:r/>
            <w:r>
              <w:t>0.0362</w:t>
            </w:r>
          </w:p>
        </w:tc>
        <w:tc>
          <w:tcPr>
            <w:tcW w:type="dxa" w:w="1337"/>
            <w:tcBorders>
              <w:top w:val="single" w:color="94A3B8" w:sz="4"/>
              <w:left w:val="none"/>
              <w:bottom w:val="single" w:color="94A3B8" w:sz="4"/>
              <w:right w:val="none"/>
            </w:tcBorders>
          </w:tcPr>
          <w:p>
            <w:r/>
            <w:r>
              <w:t>Stable (top-2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3</w:t>
            </w:r>
          </w:p>
        </w:tc>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0.0298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4</w:t>
            </w:r>
          </w:p>
        </w:tc>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Composite - COR Strain</w:t>
            </w:r>
          </w:p>
        </w:tc>
        <w:tc>
          <w:tcPr>
            <w:tcW w:type="dxa" w:w="1337"/>
            <w:tcBorders>
              <w:top w:val="single" w:color="94A3B8" w:sz="4"/>
              <w:left w:val="none"/>
              <w:bottom w:val="single" w:color="94A3B8" w:sz="4"/>
              <w:right w:val="none"/>
            </w:tcBorders>
          </w:tcPr>
          <w:p>
            <w:r/>
            <w:r>
              <w:t>0.0238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5</w:t>
            </w:r>
          </w:p>
        </w:tc>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Raw Behavioural / Digital</w:t>
            </w:r>
          </w:p>
        </w:tc>
        <w:tc>
          <w:tcPr>
            <w:tcW w:type="dxa" w:w="1337"/>
            <w:tcBorders>
              <w:top w:val="single" w:color="94A3B8" w:sz="4"/>
              <w:left w:val="none"/>
              <w:bottom w:val="single" w:color="94A3B8" w:sz="4"/>
              <w:right w:val="none"/>
            </w:tcBorders>
          </w:tcPr>
          <w:p>
            <w:r/>
            <w:r>
              <w:t>0.0202</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6</w:t>
            </w:r>
          </w:p>
        </w:tc>
        <w:tc>
          <w:tcPr>
            <w:tcW w:type="dxa" w:w="1337"/>
            <w:tcBorders>
              <w:top w:val="single" w:color="94A3B8" w:sz="4"/>
              <w:left w:val="none"/>
              <w:bottom w:val="single" w:color="94A3B8" w:sz="4"/>
              <w:right w:val="none"/>
            </w:tcBorders>
          </w:tcPr>
          <w:p>
            <w:r/>
            <w:r>
              <w:t>Study-to-Rest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0.0201</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7-10</w:t>
            </w:r>
          </w:p>
        </w:tc>
        <w:tc>
          <w:tcPr>
            <w:tcW w:type="dxa" w:w="1337"/>
            <w:tcBorders>
              <w:top w:val="single" w:color="94A3B8" w:sz="4"/>
              <w:left w:val="none"/>
              <w:bottom w:val="single" w:color="94A3B8" w:sz="4"/>
              <w:right w:val="none"/>
            </w:tcBorders>
          </w:tcPr>
          <w:p>
            <w:r/>
            <w:r>
              <w:t>Sleep quality, Study hours, Physical activity, Stress</w:t>
            </w:r>
          </w:p>
        </w:tc>
        <w:tc>
          <w:tcPr>
            <w:tcW w:type="dxa" w:w="1337"/>
            <w:tcBorders>
              <w:top w:val="single" w:color="94A3B8" w:sz="4"/>
              <w:left w:val="none"/>
              <w:bottom w:val="single" w:color="94A3B8" w:sz="4"/>
              <w:right w:val="none"/>
            </w:tcBorders>
          </w:tcPr>
          <w:p>
            <w:r/>
            <w:r>
              <w:t>Raw Behavioural / Psychometric</w:t>
            </w:r>
          </w:p>
        </w:tc>
        <w:tc>
          <w:tcPr>
            <w:tcW w:type="dxa" w:w="1337"/>
            <w:tcBorders>
              <w:top w:val="single" w:color="94A3B8" w:sz="4"/>
              <w:left w:val="none"/>
              <w:bottom w:val="single" w:color="94A3B8" w:sz="4"/>
              <w:right w:val="none"/>
            </w:tcBorders>
          </w:tcPr>
          <w:p>
            <w:r/>
            <w:r>
              <w:t>0.010-0.019</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11-18</w:t>
            </w:r>
          </w:p>
        </w:tc>
        <w:tc>
          <w:tcPr>
            <w:tcW w:type="dxa" w:w="1337"/>
            <w:tcBorders>
              <w:top w:val="single" w:color="94A3B8" w:sz="4"/>
              <w:left w:val="none"/>
              <w:bottom w:val="single" w:color="94A3B8" w:sz="4"/>
              <w:right w:val="none"/>
            </w:tcBorders>
          </w:tcPr>
          <w:p>
            <w:r/>
            <w:r>
              <w:t>Remaining psychometric and raw features</w:t>
            </w:r>
          </w:p>
        </w:tc>
        <w:tc>
          <w:tcPr>
            <w:tcW w:type="dxa" w:w="1337"/>
            <w:tcBorders>
              <w:top w:val="single" w:color="94A3B8" w:sz="4"/>
              <w:left w:val="none"/>
              <w:bottom w:val="single" w:color="94A3B8" w:sz="4"/>
              <w:right w:val="none"/>
            </w:tcBorders>
          </w:tcPr>
          <w:p>
            <w:r/>
            <w:r>
              <w:t>Mixed</w:t>
            </w:r>
          </w:p>
        </w:tc>
        <w:tc>
          <w:tcPr>
            <w:tcW w:type="dxa" w:w="1337"/>
            <w:tcBorders>
              <w:top w:val="single" w:color="94A3B8" w:sz="4"/>
              <w:left w:val="none"/>
              <w:bottom w:val="single" w:color="94A3B8" w:sz="4"/>
              <w:right w:val="none"/>
            </w:tcBorders>
          </w:tcPr>
          <w:p>
            <w:r/>
            <w:r>
              <w:t>0.008-0.010</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Bottom 3</w:t>
            </w:r>
          </w:p>
        </w:tc>
        <w:tc>
          <w:tcPr>
            <w:tcW w:type="dxa" w:w="1337"/>
            <w:tcBorders>
              <w:top w:val="single" w:color="94A3B8" w:sz="4"/>
              <w:left w:val="none"/>
              <w:bottom w:val="single" w:color="94A3B8" w:sz="4"/>
              <w:right w:val="none"/>
            </w:tcBorders>
          </w:tcPr>
          <w:p>
            <w:r/>
            <w:r>
              <w:t>Gender, Degree Level, Age Group</w:t>
            </w:r>
          </w:p>
        </w:tc>
        <w:tc>
          <w:tcPr>
            <w:tcW w:type="dxa" w:w="1337"/>
            <w:tcBorders>
              <w:top w:val="single" w:color="94A3B8" w:sz="4"/>
              <w:left w:val="none"/>
              <w:bottom w:val="single" w:color="94A3B8" w:sz="4"/>
              <w:right w:val="none"/>
            </w:tcBorders>
          </w:tcPr>
          <w:p>
            <w:r/>
            <w:r>
              <w:t>Demographic</w:t>
            </w:r>
          </w:p>
        </w:tc>
        <w:tc>
          <w:tcPr>
            <w:tcW w:type="dxa" w:w="1337"/>
            <w:tcBorders>
              <w:top w:val="single" w:color="94A3B8" w:sz="4"/>
              <w:left w:val="none"/>
              <w:bottom w:val="single" w:color="94A3B8" w:sz="4"/>
              <w:right w:val="none"/>
            </w:tcBorders>
          </w:tcPr>
          <w:p>
            <w:r/>
            <w:r>
              <w:t>&lt; 0.007</w:t>
            </w:r>
          </w:p>
        </w:tc>
        <w:tc>
          <w:tcPr>
            <w:tcW w:type="dxa" w:w="1337"/>
            <w:tcBorders>
              <w:top w:val="single" w:color="94A3B8" w:sz="4"/>
              <w:left w:val="none"/>
              <w:bottom w:val="single" w:color="94A3B8" w:sz="4"/>
              <w:right w:val="none"/>
            </w:tcBorders>
          </w:tcPr>
          <w:p>
            <w:r/>
            <w:r>
              <w:t>Negligible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Note. Mean SHAP values computed on full-dataset Random Forest refit (N = 601) for global attribution; predictive performance (Accuracy, ROC-AUC) evaluated exclusively via 10-fold stratified CV to prevent data leakage. CV rank stability confirmed by aggregating within-fold test-set SHAP values across all 10 folds (Spearman rank correlation rho = 0.9856, p &lt; .001), confirming the global importance hierarchy is not a full-dataset overfitting artefact.</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semi-structured/structured interviews with a purposively selected subsample of students reporting different levels of burnout in the initial survey. Table 8 summarizes the demographic and academic characteristics of the qualitative sample ($N = 20$). The interview transcripts were analysed using Braun and Clarke [103]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Table 8. Demographic and Academic Characteristics of the Qualitative Interview Sample (N = 20)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Participant ID</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Enrolled Degree Program</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Academic Year</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Institutional Affiliation Type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Self-Reported Burnout Severity Tier</w:t>
            </w:r>
          </w:p>
        </w:tc>
      </w:tr>
      <w:tr>
        <w:tc>
          <w:tcPr>
            <w:tcW w:type="dxa" w:w="1872"/>
            <w:tcBorders>
              <w:top w:val="single" w:color="94A3B8" w:sz="4"/>
              <w:left w:val="none"/>
              <w:bottom w:val="single" w:color="94A3B8" w:sz="4"/>
              <w:right w:val="none"/>
            </w:tcBorders>
          </w:tcPr>
          <w:p>
            <w:r/>
            <w:r>
              <w:t>P1</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w:t>
            </w:r>
          </w:p>
        </w:tc>
        <w:tc>
          <w:tcPr>
            <w:tcW w:type="dxa" w:w="1872"/>
            <w:tcBorders>
              <w:top w:val="single" w:color="94A3B8" w:sz="4"/>
              <w:left w:val="none"/>
              <w:bottom w:val="single" w:color="94A3B8" w:sz="4"/>
              <w:right w:val="none"/>
            </w:tcBorders>
          </w:tcPr>
          <w:p>
            <w:r/>
            <w:r>
              <w:t>Master of Science (CSE)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B</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P3</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P5</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C</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P6</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P10</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P11</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Affiliated College A (National University System)</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P12</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P13</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P15</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F</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P16</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Public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G</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H</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P20</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Affiliated College B (National University System)</w:t>
            </w:r>
          </w:p>
        </w:tc>
        <w:tc>
          <w:tcPr>
            <w:tcW w:type="dxa" w:w="1872"/>
            <w:tcBorders>
              <w:top w:val="single" w:color="94A3B8" w:sz="4"/>
              <w:left w:val="none"/>
              <w:bottom w:val="single" w:color="94A3B8" w:sz="4"/>
              <w:right w:val="none"/>
            </w:tcBorders>
          </w:tcPr>
          <w:p>
            <w:r/>
            <w:r>
              <w:t>High Burnout</w:t>
            </w:r>
          </w:p>
        </w:tc>
      </w:tr>
    </w:tbl>
    <w:p>
      <w:pPr>
        <w:spacing w:before="0" w:after="120"/>
      </w:pPr>
    </w:p>
    <w:p>
      <w:pPr>
        <w:spacing w:after="80" w:line="276" w:lineRule="auto"/>
      </w:pPr>
      <w:r>
        <w:rPr>
          <w:i/>
        </w:rPr>
        <w:t>Note on Qualitative Sampling Stratification and Tier Concordance</w:t>
      </w:r>
      <w:r>
        <w:t>: The qualitative subsample ($N = 20$) was recruited via nested purposive maximum variation sampling across the quantitative survey burnout strata (</w:t>
      </w:r>
      <w:r>
        <w:rPr>
          <w:rFonts w:ascii="Consolas" w:hAnsi="Consolas"/>
          <w:rFonts w:ascii="Consolas" w:hAnsi="Consolas" w:cs="Consolas"/>
          <w:color w:val="1E293B"/>
        </w:rPr>
        <w:t>burnout_score</w:t>
      </w:r>
      <w:r>
        <w:t xml:space="preserve"> tiers: Low $n=2$, Medium $n=8$, High $n=10$). In Table 8, the 'Self-Reported Burnout Severity Tier' reflects the verified categorical classification obtained during the qualitative interview protocol (Question Q8), which exhibited 100% concordance with each participant's original quantitative survey sampling tier, confirming the temporal stability of the sampling strata on the day of the interview rather than serving as an independent blind validation.</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psychological comfort, and cultural nuance. The first author (a native Bangla speaker, fluent in both languages) transcribed the audio recordings word-for-word into Bangla. Subsequently, the transcripts and illustrative narrative excerpts were translated from Bengali into English by the lead author for thematic coding, cross-case synthesis, and international reporting. To ensure translation fidelity and prevent semantic drift, a randomly selected 25% sub-sample of transcripts (n = 5) were independently back-translated into Bengali (van Nes et al., 2010; Regmi et al., 2010) by a second bilingual educational researcher. Discrepancies related to idiomatic expressions (e.g., context-specific expressions of psychological distress such as “chinta” [deep anxiety/worry] or religious coping markers such as “Alhamdulillah”) were resolved by consensus to guarantee cross-cultural semantic equivalence and conceptual validity. Where multi-part responses across related questions of the 10-item interview protocol are synthesized into illustrative excerpts in Sections 8.3–8.6, bracketed ellipses (</w:t>
      </w:r>
      <w:r>
        <w:rPr>
          <w:rFonts w:ascii="Consolas" w:hAnsi="Consolas"/>
          <w:rFonts w:ascii="Consolas" w:hAnsi="Consolas" w:cs="Consolas"/>
          <w:color w:val="1E293B"/>
        </w:rPr>
        <w:t>[...]</w:t>
      </w:r>
      <w:r>
        <w:t>) clearly demarcate connected segments across conversational turns while maintaining strict semantic and tonal fidelity to the original spoken Bengali.</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interviewing/coding). Because the interviewer was aware of participants' sampling strata during the semi-structured interviews to ensure maximum variation probing across burnout tiers,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quantitative feature rankings and model predictions, analysed a 25% sub-sample of anonymised interview transcripts (n = 5). Inter-rater reliability was high across major thematic categories (Cohen’s $\kappa = 0.82$, 95% CI [0.74, 0.90]; Landis &amp; Koch, 1977 [111]), reflecting strong thematic stability across independent coders.</w:t>
      </w:r>
    </w:p>
    <w:p>
      <w:pPr>
        <w:pStyle w:val="Heading3"/>
        <w:spacing w:before="200" w:after="60"/>
      </w:pPr>
      <w:r>
        <w:rPr>
          <w:color w:val="047857"/>
        </w:rPr>
        <w:t>8.3 Theme 1: Academic Dread and Career Despair</w:t>
      </w:r>
    </w:p>
    <w:p>
      <w:pPr>
        <w:spacing w:after="80" w:line="276" w:lineRule="auto"/>
      </w:pPr>
      <w:r>
        <w:t>The interviews revealed that the most common fear was academic failure and the second most common fear was career prospects after graduation, mirroring the SHAP finding that academic performance indicators and CGPA are the most influential predictors of burnout. Students reporting High Burnout viewed academic demands as insurmountable pressure, not as manageable milestones. Participant 1 (Bachelor of Science in CSE 2nd Year, Private University A, High Burnout) summarized this experience: "My mental stress is quite high right now. Honestly, because I can't finish my daily tasks on time, the academic pressure feels even heavier. [...] I have constant anxiety about my career—what I'll do in the future, where my life is heading; thinking about these things makes me restless." Participant 10 (Bachelor 3rd Year, Private University D, High Burnout) expressed feeling overwhelmed by cumulative demands: "Mental stress is extremely high! Even if I study all day, it feels like the syllabus is never ending. [...] I am depressed all the time. There's the academic pressure, plus the current situation of the country—I don't see a good future." Participant 17 (Bachelor 1st Year, Private University G, Medium Burnout) noted the strict institutional grading context: "You already know the study pressure at our private university! I have to make it a rule to study 4-5 hours every day because our grading system is very strict. [...] Yes, I am often quite depressed about life and my studies."</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academic demands are prerequisite for burnout. Some National University students reported low day-to-day curriculum pressure, but experienced severe burnout driven by institutional stigma and career despair. Participant 11 (Bachelor 1st Year, Affiliated College A [National University System], High Burnout) explicitly contrasted academic workload with career despair: "Brother, as you know, studying at the National University means there isn't that much study pressure. [...] Mentally, I am not doing very well. For one, I study at the National University, and on top of that, my CGPA is bad. I can't find any direction for my future, so my depression is quite high." Participant 20 (Bachelor 3rd Year, Affiliated College B [National University System], High Burnout) echoed this experience: "There's no direct pressure from studies, but since I don't study—there's a constant internal stress that works inside my mind. [...] Brother, I am depressed all day long. For one, I study at the National University, and on top of that, there's no clue about my career."</w:t>
      </w:r>
    </w:p>
    <w:p>
      <w:pPr>
        <w:spacing w:after="80" w:line="276" w:lineRule="auto"/>
      </w:pPr>
      <w:r>
        <w:t>Methodological Caveat on Subgroup Evidentiary Base: It should be explicitly noted that this "low-pressure institutional burnout" theme emerged specifically from the two National University participants ($n = 2$, Participant 11 and Participant 20) represented in the purposive qualitative interview cohort ($N = 20$). While these accounts provide deep exploratory qualitative evidence of an unmeasured dimension of institutional marginalisation, this finding should be interpreted as exploratory and hypothesis-generating, warranting confirmatory investigation in dedicated future studies with larger cohorts of National University students.</w:t>
      </w:r>
    </w:p>
    <w:p>
      <w:pPr>
        <w:pStyle w:val="Heading3"/>
        <w:spacing w:before="200" w:after="60"/>
      </w:pPr>
      <w:r>
        <w:rPr>
          <w:color w:val="047857"/>
        </w:rPr>
        <w:t>8.5 Theme 3: Digital Fatigue as Maladaptive Coping</w:t>
      </w:r>
    </w:p>
    <w:p>
      <w:pPr>
        <w:spacing w:after="80" w:line="276" w:lineRule="auto"/>
      </w:pPr>
      <w:r>
        <w:t>Burnout was found to be significantly associated with social media consumption (ANOVA $p &lt; .001$). In qualitative interviews, we found that social media is frequently used as an avoidance mechanism for academic overwhelm, which subsequently disrupts time management and exacerbates the original stress, creating a vicious cycle of digital fatigue. Participant 18 (Bachelor 2nd Year, Private University H, High Burnout) described this habitual loss of digital control: "Social media is eating up all my valuable time. Between scrolling and web series, I waste at least 6 hours a day on my phone. [...] Burnout is very high. Between this daily routine and my mental state, I am completely tired." This unstructured digital consumption directly substituted for study and recuperative rest. Participant 8 (Bachelor 2nd Year, Private University A, High Burnout) similarly stated: "My whole day goes to my phone! Scrolling Facebook and playing PUBG takes up more than 6-7 hours a day. [...] I'm depressed quite often. No studies, no outdoor activities—adding it all up makes me feel like there is actually no future in Bangladesh."</w:t>
      </w:r>
    </w:p>
    <w:p>
      <w:pPr>
        <w:pStyle w:val="Heading3"/>
        <w:spacing w:before="200" w:after="60"/>
      </w:pPr>
      <w:r>
        <w:rPr>
          <w:color w:val="047857"/>
        </w:rPr>
        <w:t>8.6 Theme 4: Circadian Collapse and Sleep Deprivation (Biological Exhaustion)</w:t>
      </w:r>
    </w:p>
    <w:p>
      <w:pPr>
        <w:spacing w:after="80" w:line="276" w:lineRule="auto"/>
      </w:pPr>
      <w:r>
        <w:t>Students experiencing severe burnout consistently reported their circadian rhythms breaking down completely from late-night digital consumption, academic anxiety, or employment obligations. This qualitative finding provides contextual support to the SHAP values identifying sleep hours and sleep quality as essential buffers. Participant 6 (Bachelor 2nd Year, Private University A, High Burnout) described the disruption of sleep hygiene: "Actually, I watch a lot of web series at night, so I go to bed late. Then I have to wake up in the morning for university, so my sleep schedule is completely off. [...] Very poor. I don't get enough time to sleep, and even when I get into bed, sleep doesn't come easily." Participant 12 (Bachelor 2nd Year, Private University A, High Burnout) emphasized the compounded strain of employment and disrupted rest: "The academic pressure feels like a lot to me. I absolutely cannot balance the job and my studies together. [...] My sleep situation is very pathetic. I only get the chance to sleep for about 5-6 hours a day. [...] I am a very light sleeper, and it breaks at the slightest sound." In stark contrast, students who maintained consistent sleep hygiene and physical activity exhibited resilience even under high academic workloads. Participant 5 (Master's 1st Year, Private University C, Low Burnout) managed academic coursework, research, and graduate assistantship responsibilities with consistent restorative sleep: "Alhamdulillah, I can sleep very peacefully. I make it a rule to sleep 7-8 hours every day. [...] My burnout level is quite low. I am managing everything beautifully, and my results are going well too." Participant 4 (Bachelor 3rd Year, Private University A, Medium Burnout) highlighted the protective buffer of physical exercise and deep sleep: "Yes, I exercise regularly every morning. I also play football. [...] Alhamdulillah, my sleep is very good. I get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 Table 9 presents the formal explanatory triangulation matrix mapping quantitative SHAP predictors to qualitative themes.</w:t>
      </w:r>
    </w:p>
    <w:p>
      <w:pPr>
        <w:pStyle w:val="Heading3"/>
        <w:spacing w:before="200" w:after="60"/>
      </w:pPr>
      <w:r>
        <w:rPr>
          <w:color w:val="047857"/>
        </w:rPr>
        <w:t>Table 9. Explanatory Triangulation Matrix: SHAP Quantitative Predictors Mapped to Qualitative Themes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 Feature / Quantitative Signal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 \</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Emergent Qualitative Theme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Representative Participant Evidence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Status</w:t>
            </w:r>
          </w:p>
        </w:tc>
      </w:tr>
      <w:tr>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#1 (0.0388)</w:t>
            </w:r>
          </w:p>
        </w:tc>
        <w:tc>
          <w:tcPr>
            <w:tcW w:type="dxa" w:w="1337"/>
            <w:tcBorders>
              <w:top w:val="single" w:color="94A3B8" w:sz="4"/>
              <w:left w:val="none"/>
              <w:bottom w:val="single" w:color="94A3B8" w:sz="4"/>
              <w:right w:val="none"/>
            </w:tcBorders>
          </w:tcPr>
          <w:p>
            <w:r/>
            <w:r>
              <w:t>Theme 1: Academic Dread and Career Despair</w:t>
            </w:r>
          </w:p>
        </w:tc>
        <w:tc>
          <w:tcPr>
            <w:tcW w:type="dxa" w:w="1337"/>
            <w:tcBorders>
              <w:top w:val="single" w:color="94A3B8" w:sz="4"/>
              <w:left w:val="none"/>
              <w:bottom w:val="single" w:color="94A3B8" w:sz="4"/>
              <w:right w:val="none"/>
            </w:tcBorders>
          </w:tcPr>
          <w:p>
            <w:r/>
            <w:r>
              <w:t>P1: "I have constant anxiety about my career — what I'll do in the future"; P10: "Even if I study all day, it feels like the syllabus is never ending"</w:t>
            </w:r>
          </w:p>
        </w:tc>
        <w:tc>
          <w:tcPr>
            <w:tcW w:type="dxa" w:w="1337"/>
            <w:tcBorders>
              <w:top w:val="single" w:color="94A3B8" w:sz="4"/>
              <w:left w:val="none"/>
              <w:bottom w:val="single" w:color="94A3B8" w:sz="4"/>
              <w:right w:val="none"/>
            </w:tcBorders>
          </w:tcPr>
          <w:p>
            <w:r/>
            <w:r>
              <w:rPr>
                <w:b/>
              </w:rPr>
              <w:t>Convergence</w:t>
            </w:r>
            <w:r>
              <w:t>: Algorithmic signal corroborated by all High Burnout participants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#2 (0.0362)</w:t>
            </w:r>
          </w:p>
        </w:tc>
        <w:tc>
          <w:tcPr>
            <w:tcW w:type="dxa" w:w="1337"/>
            <w:tcBorders>
              <w:top w:val="single" w:color="94A3B8" w:sz="4"/>
              <w:left w:val="none"/>
              <w:bottom w:val="single" w:color="94A3B8" w:sz="4"/>
              <w:right w:val="none"/>
            </w:tcBorders>
          </w:tcPr>
          <w:p>
            <w:r/>
            <w:r>
              <w:t>Theme 1 &amp; Theme 2: Career Despair / Institutional Identity Burnout</w:t>
            </w:r>
          </w:p>
        </w:tc>
        <w:tc>
          <w:tcPr>
            <w:tcW w:type="dxa" w:w="1337"/>
            <w:tcBorders>
              <w:top w:val="single" w:color="94A3B8" w:sz="4"/>
              <w:left w:val="none"/>
              <w:bottom w:val="single" w:color="94A3B8" w:sz="4"/>
              <w:right w:val="none"/>
            </w:tcBorders>
          </w:tcPr>
          <w:p>
            <w:r/>
            <w:r>
              <w:t>P11: "I study at the National University, and my CGPA is bad — I can't find any direction"</w:t>
            </w:r>
          </w:p>
        </w:tc>
        <w:tc>
          <w:tcPr>
            <w:tcW w:type="dxa" w:w="1337"/>
            <w:tcBorders>
              <w:top w:val="single" w:color="94A3B8" w:sz="4"/>
              <w:left w:val="none"/>
              <w:bottom w:val="single" w:color="94A3B8" w:sz="4"/>
              <w:right w:val="none"/>
            </w:tcBorders>
          </w:tcPr>
          <w:p>
            <w:r/>
            <w:r>
              <w:rPr>
                <w:b/>
              </w:rPr>
              <w:t>Convergence + Extension</w:t>
            </w:r>
            <w:r>
              <w:t>: Qualitative adds institutional stigma dimension unmeasured by CGPA alone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#3 (0.0298)</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P18: "Social media is eating up all my valuable time — at least 6 hours a day"; P8: "My whole day goes to my phone"</w:t>
            </w:r>
          </w:p>
        </w:tc>
        <w:tc>
          <w:tcPr>
            <w:tcW w:type="dxa" w:w="1337"/>
            <w:tcBorders>
              <w:top w:val="single" w:color="94A3B8" w:sz="4"/>
              <w:left w:val="none"/>
              <w:bottom w:val="single" w:color="94A3B8" w:sz="4"/>
              <w:right w:val="none"/>
            </w:tcBorders>
          </w:tcPr>
          <w:p>
            <w:r/>
            <w:r>
              <w:rPr>
                <w:b/>
              </w:rPr>
              <w:t>Convergence</w:t>
            </w:r>
            <w:r>
              <w:t>: Sequential digital-sleep displacement mechanism corroborated qualitatively</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#4 (0.0238)</w:t>
            </w:r>
          </w:p>
        </w:tc>
        <w:tc>
          <w:tcPr>
            <w:tcW w:type="dxa" w:w="1337"/>
            <w:tcBorders>
              <w:top w:val="single" w:color="94A3B8" w:sz="4"/>
              <w:left w:val="none"/>
              <w:bottom w:val="single" w:color="94A3B8" w:sz="4"/>
              <w:right w:val="none"/>
            </w:tcBorders>
          </w:tcPr>
          <w:p>
            <w:r/>
            <w:r>
              <w:t>Theme 1 &amp; Theme 4: Psychological Distress + Sleep Collapse</w:t>
            </w:r>
          </w:p>
        </w:tc>
        <w:tc>
          <w:tcPr>
            <w:tcW w:type="dxa" w:w="1337"/>
            <w:tcBorders>
              <w:top w:val="single" w:color="94A3B8" w:sz="4"/>
              <w:left w:val="none"/>
              <w:bottom w:val="single" w:color="94A3B8" w:sz="4"/>
              <w:right w:val="none"/>
            </w:tcBorders>
          </w:tcPr>
          <w:p>
            <w:r/>
            <w:r>
              <w:t>P6: "My sleep schedule is completely off"; P12: "My sleep situation is very pathetic"</w:t>
            </w:r>
          </w:p>
        </w:tc>
        <w:tc>
          <w:tcPr>
            <w:tcW w:type="dxa" w:w="1337"/>
            <w:tcBorders>
              <w:top w:val="single" w:color="94A3B8" w:sz="4"/>
              <w:left w:val="none"/>
              <w:bottom w:val="single" w:color="94A3B8" w:sz="4"/>
              <w:right w:val="none"/>
            </w:tcBorders>
          </w:tcPr>
          <w:p>
            <w:r/>
            <w:r>
              <w:rPr>
                <w:b/>
              </w:rPr>
              <w:t>Convergence</w:t>
            </w:r>
            <w:r>
              <w:t>: Demand-resource imbalance operationalized in both analytical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#5 (0.0202)</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P8: "Scrolling Facebook and playing PUBG takes up more than 6-7 hours a day"</w:t>
            </w:r>
          </w:p>
        </w:tc>
        <w:tc>
          <w:tcPr>
            <w:tcW w:type="dxa" w:w="1337"/>
            <w:tcBorders>
              <w:top w:val="single" w:color="94A3B8" w:sz="4"/>
              <w:left w:val="none"/>
              <w:bottom w:val="single" w:color="94A3B8" w:sz="4"/>
              <w:right w:val="none"/>
            </w:tcBorders>
          </w:tcPr>
          <w:p>
            <w:r/>
            <w:r>
              <w:rPr>
                <w:b/>
              </w:rPr>
              <w:t>Convergence</w:t>
            </w:r>
            <w:r>
              <w:t>: Consistent across SHAP and all High Burnout interviews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Sleep Deprivation Index / Sleep Quality</w:t>
            </w:r>
          </w:p>
        </w:tc>
        <w:tc>
          <w:tcPr>
            <w:tcW w:type="dxa" w:w="1337"/>
            <w:tcBorders>
              <w:top w:val="single" w:color="94A3B8" w:sz="4"/>
              <w:left w:val="none"/>
              <w:bottom w:val="single" w:color="94A3B8" w:sz="4"/>
              <w:right w:val="none"/>
            </w:tcBorders>
          </w:tcPr>
          <w:p>
            <w:r/>
            <w:r>
              <w:t>#7–8</w:t>
            </w:r>
          </w:p>
        </w:tc>
        <w:tc>
          <w:tcPr>
            <w:tcW w:type="dxa" w:w="1337"/>
            <w:tcBorders>
              <w:top w:val="single" w:color="94A3B8" w:sz="4"/>
              <w:left w:val="none"/>
              <w:bottom w:val="single" w:color="94A3B8" w:sz="4"/>
              <w:right w:val="none"/>
            </w:tcBorders>
          </w:tcPr>
          <w:p>
            <w:r/>
            <w:r>
              <w:t>Theme 4: Circadian Collapse and Biological Exhaustion</w:t>
            </w:r>
          </w:p>
        </w:tc>
        <w:tc>
          <w:tcPr>
            <w:tcW w:type="dxa" w:w="1337"/>
            <w:tcBorders>
              <w:top w:val="single" w:color="94A3B8" w:sz="4"/>
              <w:left w:val="none"/>
              <w:bottom w:val="single" w:color="94A3B8" w:sz="4"/>
              <w:right w:val="none"/>
            </w:tcBorders>
          </w:tcPr>
          <w:p>
            <w:r/>
            <w:r>
              <w:t>P5 (Low Burnout): "I make it a rule to sleep 7-8 hours every day — my burnout level is quite low"</w:t>
            </w:r>
          </w:p>
        </w:tc>
        <w:tc>
          <w:tcPr>
            <w:tcW w:type="dxa" w:w="1337"/>
            <w:tcBorders>
              <w:top w:val="single" w:color="94A3B8" w:sz="4"/>
              <w:left w:val="none"/>
              <w:bottom w:val="single" w:color="94A3B8" w:sz="4"/>
              <w:right w:val="none"/>
            </w:tcBorders>
          </w:tcPr>
          <w:p>
            <w:r/>
            <w:r>
              <w:rPr>
                <w:b/>
              </w:rPr>
              <w:t>Complementarity</w:t>
            </w:r>
            <w:r>
              <w:t>: Protective role of sleep hygiene identified qualitatively as buffer</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Gender / Age / Degree Level</w:t>
            </w:r>
          </w:p>
        </w:tc>
        <w:tc>
          <w:tcPr>
            <w:tcW w:type="dxa" w:w="1337"/>
            <w:tcBorders>
              <w:top w:val="single" w:color="94A3B8" w:sz="4"/>
              <w:left w:val="none"/>
              <w:bottom w:val="single" w:color="94A3B8" w:sz="4"/>
              <w:right w:val="none"/>
            </w:tcBorders>
          </w:tcPr>
          <w:p>
            <w:r/>
            <w:r>
              <w:t>#Bottom (\&lt;0.007)</w:t>
            </w:r>
          </w:p>
        </w:tc>
        <w:tc>
          <w:tcPr>
            <w:tcW w:type="dxa" w:w="1337"/>
            <w:tcBorders>
              <w:top w:val="single" w:color="94A3B8" w:sz="4"/>
              <w:left w:val="none"/>
              <w:bottom w:val="single" w:color="94A3B8" w:sz="4"/>
              <w:right w:val="none"/>
            </w:tcBorders>
          </w:tcPr>
          <w:p>
            <w:r/>
            <w:r>
              <w:t>Themes 1–4 (Universal): All demographic groups report behavioural, not demographic, burnout drivers</w:t>
            </w:r>
          </w:p>
        </w:tc>
        <w:tc>
          <w:tcPr>
            <w:tcW w:type="dxa" w:w="1337"/>
            <w:tcBorders>
              <w:top w:val="single" w:color="94A3B8" w:sz="4"/>
              <w:left w:val="none"/>
              <w:bottom w:val="single" w:color="94A3B8" w:sz="4"/>
              <w:right w:val="none"/>
            </w:tcBorders>
          </w:tcPr>
          <w:p>
            <w:r/>
            <w:r>
              <w:t>No participant attributed burnout to age or gender</w:t>
            </w:r>
          </w:p>
        </w:tc>
        <w:tc>
          <w:tcPr>
            <w:tcW w:type="dxa" w:w="1337"/>
            <w:tcBorders>
              <w:top w:val="single" w:color="94A3B8" w:sz="4"/>
              <w:left w:val="none"/>
              <w:bottom w:val="single" w:color="94A3B8" w:sz="4"/>
              <w:right w:val="none"/>
            </w:tcBorders>
          </w:tcPr>
          <w:p>
            <w:r/>
            <w:r>
              <w:rPr>
                <w:b/>
              </w:rPr>
              <w:t>Convergence</w:t>
            </w:r>
            <w:r>
              <w:t>: Demographic invariance confirmed across both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Institutional type (unmeasured quantitatively)</w:t>
            </w:r>
          </w:p>
        </w:tc>
        <w:tc>
          <w:tcPr>
            <w:tcW w:type="dxa" w:w="1337"/>
            <w:tcBorders>
              <w:top w:val="single" w:color="94A3B8" w:sz="4"/>
              <w:left w:val="none"/>
              <w:bottom w:val="single" w:color="94A3B8" w:sz="4"/>
              <w:right w:val="none"/>
            </w:tcBorders>
          </w:tcPr>
          <w:p>
            <w:r/>
            <w:r>
              <w:t>Not captured</w:t>
            </w:r>
          </w:p>
        </w:tc>
        <w:tc>
          <w:tcPr>
            <w:tcW w:type="dxa" w:w="1337"/>
            <w:tcBorders>
              <w:top w:val="single" w:color="94A3B8" w:sz="4"/>
              <w:left w:val="none"/>
              <w:bottom w:val="single" w:color="94A3B8" w:sz="4"/>
              <w:right w:val="none"/>
            </w:tcBorders>
          </w:tcPr>
          <w:p>
            <w:r/>
            <w:r>
              <w:t>Theme 2: Institutional Identity and Low-Pressure Burnout</w:t>
            </w:r>
          </w:p>
        </w:tc>
        <w:tc>
          <w:tcPr>
            <w:tcW w:type="dxa" w:w="1337"/>
            <w:tcBorders>
              <w:top w:val="single" w:color="94A3B8" w:sz="4"/>
              <w:left w:val="none"/>
              <w:bottom w:val="single" w:color="94A3B8" w:sz="4"/>
              <w:right w:val="none"/>
            </w:tcBorders>
          </w:tcPr>
          <w:p>
            <w:r/>
            <w:r>
              <w:t>P11, P20: National University stigma as burnout driver independent of academic workload</w:t>
            </w:r>
          </w:p>
        </w:tc>
        <w:tc>
          <w:tcPr>
            <w:tcW w:type="dxa" w:w="1337"/>
            <w:tcBorders>
              <w:top w:val="single" w:color="94A3B8" w:sz="4"/>
              <w:left w:val="none"/>
              <w:bottom w:val="single" w:color="94A3B8" w:sz="4"/>
              <w:right w:val="none"/>
            </w:tcBorders>
          </w:tcPr>
          <w:p>
            <w:r/>
            <w:r>
              <w:rPr>
                <w:b/>
              </w:rPr>
              <w:t>Divergence / Extension</w:t>
            </w:r>
            <w:r>
              <w:t>: Qualitative reveals mechanism invisible to the quantitative model</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 xml:space="preserve">Note. Triangulation status definitions: </w:t>
      </w:r>
      <w:r>
        <w:rPr>
          <w:i/>
        </w:rPr>
        <w:t>Convergence</w:t>
      </w:r>
      <w:r>
        <w:t xml:space="preserve"> = quantitative and qualitative findings directly corroborate; </w:t>
      </w:r>
      <w:r>
        <w:rPr>
          <w:i/>
        </w:rPr>
        <w:t>Complementarity</w:t>
      </w:r>
      <w:r>
        <w:t xml:space="preserve"> = qualitative adds depth or nuance to quantitative signals without contradiction; </w:t>
      </w:r>
      <w:r>
        <w:rPr>
          <w:i/>
        </w:rPr>
        <w:t>Divergence/Extension</w:t>
      </w:r>
      <w:r>
        <w:t xml:space="preserve"> = qualitative identifies mechanisms absent from the quantitative feature space, representing unmeasured constructs for future model iteration. Protocol adapted from Farmer et al. (2006) [112].</w:t>
      </w:r>
    </w:p>
    <w:p>
      <w:pPr>
        <w:pStyle w:val="Heading3"/>
        <w:spacing w:before="200" w:after="60"/>
      </w:pPr>
      <w:r>
        <w:rPr>
          <w:color w:val="047857"/>
        </w:rPr>
        <w:t>9.1 CGPA Convergence and Career Disenchantment</w:t>
      </w:r>
    </w:p>
    <w:p>
      <w:pPr>
        <w:spacing w:after="80" w:line="276" w:lineRule="auto"/>
      </w:pPr>
      <w:r>
        <w:t xml:space="preserve">Quantitative Signal: Global SHAP attribution identified </w:t>
      </w:r>
      <w:r>
        <w:rPr>
          <w:rFonts w:ascii="Consolas" w:hAnsi="Consolas"/>
          <w:rFonts w:ascii="Consolas" w:hAnsi="Consolas" w:cs="Consolas"/>
          <w:color w:val="1E293B"/>
        </w:rPr>
        <w:t>academic_performance_index</w:t>
      </w:r>
      <w:r>
        <w:t xml:space="preserve"> (Mean |SHAP| = 0.0388), </w:t>
      </w:r>
      <w:r>
        <w:rPr>
          <w:rFonts w:ascii="Consolas" w:hAnsi="Consolas"/>
          <w:rFonts w:ascii="Consolas" w:hAnsi="Consolas" w:cs="Consolas"/>
          <w:color w:val="1E293B"/>
        </w:rPr>
        <w:t>cgpa_midpoint</w:t>
      </w:r>
      <w:r>
        <w:t xml:space="preserve"> (Mean |SHAP| = 0.0362), </w:t>
      </w:r>
      <w:r>
        <w:rPr>
          <w:rFonts w:ascii="Consolas" w:hAnsi="Consolas"/>
          <w:rFonts w:ascii="Consolas" w:hAnsi="Consolas" w:cs="Consolas"/>
          <w:color w:val="1E293B"/>
        </w:rPr>
        <w:t>screen_to_sleep_ratio</w:t>
      </w:r>
      <w:r>
        <w:t xml:space="preserve"> (Mean |SHAP| = 0.0298), and </w:t>
      </w:r>
      <w:r>
        <w:rPr>
          <w:rFonts w:ascii="Consolas" w:hAnsi="Consolas"/>
          <w:rFonts w:ascii="Consolas" w:hAnsi="Consolas" w:cs="Consolas"/>
          <w:color w:val="1E293B"/>
        </w:rPr>
        <w:t>burnout_vulnerability_index</w:t>
      </w:r>
      <w:r>
        <w:t xml:space="preserve"> (Mean |SHAP| = 0.0238) as the primary mathematical predictors of High Burnout classification. Qualitative Context: Reflexive thematic analysis contextualises the algorithm's prioritisation of these academic metrics. For university students in Bangladesh, CGPA operates as a high-stakes proxy for post-graduate career viability in an intensely competitive employment market. Participants consistently articulated a bidirectional psychological burden: striving to sustain a competitive CGPA incurs severe cognitive and emotional exhaustion, whereas sub-optimal academic standing engenders acute anxiety regarding post-graduate unemployment. Furthermore, qualitative inquiry illuminated an institutional nuance absent from the quantitative feature space: students enrolled in the National University system reported severe burnout even under nominal curricular workloads, driven by perceived institutional marginalisation and credential devaluation. This indicates that perceived academic pressure is inextricably intertwined with anticipatory career despair.</w:t>
      </w:r>
    </w:p>
    <w:p>
      <w:pPr>
        <w:pStyle w:val="Heading3"/>
        <w:spacing w:before="200" w:after="60"/>
      </w:pPr>
      <w:r>
        <w:rPr>
          <w:color w:val="047857"/>
        </w:rPr>
        <w:t>9.2 Convergence of Screen-to-Sleep Disruption and Digital Fatigue Dynamics</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do not passively consume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"Actually, I watch a lot of web series at night, so I go to bed late. Then I have to wake up in the morning for university, so my sleep schedule is completely off," explained Participant 6 (Bachelor 2nd Year, Private University A, High Burnout). Participant 8 echoed the same compounding dynamic: "My whole day goes to my phone! Scrolling Facebook and playing PUBG takes up more than 6-7 hours a day. [...] No studies, no outdoor activities—adding it all up makes me feel like there is actually no future in Bangladesh."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Sociodemographic Invariance in Algorithmic and Qualitative Burnout Risk Attribution</w:t>
      </w:r>
    </w:p>
    <w:p>
      <w:pPr>
        <w:spacing w:after="80" w:line="276" w:lineRule="auto"/>
      </w:pPr>
      <w:r>
        <w:t>Quantitative Signal: Demographic variables (Gender, Age Group, Degree Level) were found at the bottom of SHAP hierarchy and had mathematically insignificant predictive power. Qualitative Context: The interviews corroborate this observed invariance. Students did not attribute exhaustion to age or gender in their accounts. Instead, burnout was universally attributed to behavioural demands (working part-time jobs, studying long hours) and psychological states (depression over career prospects). The model's negligible attribution of burnout risk to age and gender is consistent with the qualitative finding that students attributed exhaustion to behavioural and psychological demands rather than fixed demographic characteristics — a pattern that corroborates the algorithmic output through independent narrative evidence.</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The integrated evidence is consistent with a hypothesised compounding risk pathway along the JD-R health impairment trajectory: Systemic Academic/Career Anxiety (CGPA pressure or institutional stigma) may contribute to primary Psychological Distress (depression and stress). Students unable to engage adaptive strategies may subsequently exhibit Maladaptive Digital Escapism (high social media use of 5–7 hours daily), which may further co-occur with Biological Exhaustion (sleep deprivation to 5–6 hours). This triangulated adaptation suggests that machine learning algorithms, suitably deconstructed through Explainable AI and contextualised through human interviews, can contribute meaningfully to our understanding of complex psychological phenomena. This proposed sequential pathway is inherently cross-sectional and correlational in the current study; the temporal ordering and directionality of these relationships require confirmation in future longitudinal studies using structural equation modelling on independent samples.</w:t>
      </w:r>
    </w:p>
    <w:p>
      <w:pPr>
        <w:pStyle w:val="Heading3"/>
        <w:spacing w:before="200" w:after="60"/>
      </w:pPr>
      <w:r>
        <w:rPr>
          <w:color w:val="047857"/>
        </w:rPr>
        <w:t>9.5 Research Hypothesis &amp; Research Questions Testing</w:t>
      </w:r>
    </w:p>
    <w:p>
      <w:pPr>
        <w:spacing w:after="80" w:line="276" w:lineRule="auto"/>
      </w:pPr>
      <w:r>
        <w:t xml:space="preserve">We now explicitly and empirically close the conceptual and predictive framework set in Section 1 by formally testing the four research hypotheses (H1–H4) and four research questions (RQ1–RQ4). Testing Research Hypotheses: H1 (Algorithm Superiority): </w:t>
      </w:r>
      <w:r>
        <w:rPr>
          <w:b/>
        </w:rPr>
        <w:t>Partially Supported</w:t>
      </w:r>
      <w:r>
        <w:t xml:space="preserve"> — Bagging ensembles (Random Forest) significantly outperformed the single-learner baseline (Decision Tree); gradient boosting ensembles did not. H1 predicted that ensemble-based classifiers (Random Forest, XGBoost, LightGBM, CatBoost) would perform better than single-learner models. The hypothesis is partially supported: the bagging-based ensemble (Random Forest) significantly outperformed the single learner (Decision Tree) via McNemar test, confirming one class of ensemble superiority. However, gradient boosting ensembles (XGBoost, LightGBM, CatBoost) did not significantly outperform Logistic Regression or Random Forest — an important boundary condition of the hypothesis.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[89];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(65.89%) performed significantly better than the single-learner Decision Tree in unadjusted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[38].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(biological exhaustion). RQ4 (Triangulated Meta-Inferences &amp; Policy Implications): Discussed in Sections 9 &amp; 10. Triangulation produced a unified 4-stage compounding burnout model (Academic/Career Anxiety $\rightarrow$ Psychological Distress $\rightarrow$ Maladaptive Digital Escapism $\rightarrow$ Circadian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[100]. A 10-fold cross-validated accuracy of 65.89% with a ROC-AUC of 0.7126 thus marks a modest, leak-free real-world exploratory screening baseline (8.32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(Section 6.3) showed that the difference in performance between Random Forest (Accuracy = 65.89%, F1 = 0.5199) and standard Logistic Regression (Accuracy = 64.39%, F1 = 0.5348) was not statistically significant ($\chi^2 = 0.51, p = 0.4743$). Complex gradient-boosted models such as CatBoost (65.06%) also did not significantly outperform Logistic Regression ($\chi^2 = 0.07, p = 0.7925$) or Random Forest ($\chi^2 = 0.23, p = 0.6350$).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empirical findings provide theoretical corroboration and contextual extension of the Job Demands-Resources (JD-R) model [38] to tertiary education in a developing economy. The JD-R model posits that burnout emerges when structural demands chronically outstrip restorative resources. Triangulating game-theoretic SHAP feature attributions with qualitative narratives identified three prominent demand-resource vectors: 1. Academic Performance (CGPA) as Primary Demand Vector: Unlike Western higher education cohorts where external employment or social isolation frequently dominate burnout risk [14], our XAI model identified Academic Performance Index (Mean |SHAP| = 0.0388) and CGPA Midpoint (Mean |SHAP| = 0.0362) as the foremost risk attributions. Qualitative narratives contextualised this ranking: in Bangladesh's constrained graduate job market, academic standing is perceived as the sole determinant of economic security. The substantial psychological strain associated with maintaining a high CGPA, combined with the hopelessness associated with sub-optimal grades (especially among stigmatised National University students), constitutes an unremitting structural demand. 2. The Digital Fatigue Paradox: While recreational activity theoretically functions as a restorative psychological resource, unstructured social media consumption (5 hours daily) emerged empirically as a demand-amplifying factor (Mean |SHAP| = 0.0202; Screen-to-Sleep Ratio Mean |SHAP| = 0.0298). Qualitative analysis revealed that digital engagement operates as an avoidance-based coping strategy that displaces sleep rather than replenishing cognitive resources. 3. Biological Resource Depletion (Sleep Deprivation): Objective and self-reported sleep metrics demonstrated prominent negative associations with burnout severity. Triangulation identified a consistent behavioural co-occurrence pattern wherein academic anxiety and digital escapism concurrently restrict sleep duration to 5–6 hours, inducing a chronic biological resource deficit that undermines next-day academic coping capacity.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experiential insights into self-perpetuating behavioural cycles (e.g., social media perceived as displacing sleep), a cross-sectional design is limited in its ability to determine causality. For example, it is still possible in theory that severe burnout leads to more social media use rather than vice versa.</w:t>
      </w:r>
    </w:p>
    <w:p>
      <w:pPr>
        <w:spacing w:after="80" w:line="276" w:lineRule="auto"/>
      </w:pPr>
      <w:r>
        <w:t xml:space="preserve">2. Self-Report Bias: The quantitative survey and qualitative interviews were entirely based on self-reported metrics. Variables such as </w:t>
      </w:r>
      <w:r>
        <w:rPr>
          <w:rFonts w:ascii="Consolas" w:hAnsi="Consolas"/>
          <w:rFonts w:ascii="Consolas" w:hAnsi="Consolas" w:cs="Consolas"/>
          <w:color w:val="1E293B"/>
        </w:rPr>
        <w:t>study_hours_numeric</w:t>
      </w:r>
      <w:r>
        <w:t xml:space="preserve"> and </w:t>
      </w:r>
      <w:r>
        <w:rPr>
          <w:rFonts w:ascii="Consolas" w:hAnsi="Consolas"/>
          <w:rFonts w:ascii="Consolas" w:hAnsi="Consolas" w:cs="Consolas"/>
          <w:color w:val="1E293B"/>
        </w:rPr>
        <w:t>sleep_hours_numeric</w:t>
      </w:r>
      <w:r>
        <w:t xml:space="preserve"> remain subject to recall bias.</w:t>
      </w:r>
    </w:p>
    <w:p>
      <w:pPr>
        <w:spacing w:after="80" w:line="276" w:lineRule="auto"/>
      </w:pPr>
      <w:r>
        <w:t>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[11, 123]. Such external “natural” stressors probably play a massive, hidden role in the high burnout rates, especially in Dhaka, which the current algorithm cannot account for.</w:t>
      </w:r>
    </w:p>
    <w:p>
      <w:pPr>
        <w:spacing w:after="80" w:line="276" w:lineRule="auto"/>
      </w:pPr>
      <w:r>
        <w:t>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Table 6), more cases are identified, but the specificity is lower (56.07%). This emphasises that algorithmic risk stratification should serve solely as a non-binding decision support indicator, augmented by human clinical judgement.</w:t>
      </w:r>
    </w:p>
    <w:p>
      <w:pPr>
        <w:spacing w:after="80" w:line="276" w:lineRule="auto"/>
      </w:pPr>
      <w:r>
        <w:t>5. Engineered composite features and Construct Adjacency: The 9 composite features operationalize theoretical JD-R demands and COR resources (</w:t>
      </w:r>
      <w:r>
        <w:rPr>
          <w:rFonts w:ascii="Consolas" w:hAnsi="Consolas"/>
          <w:rFonts w:ascii="Consolas" w:hAnsi="Consolas" w:cs="Consolas"/>
          <w:color w:val="1E293B"/>
        </w:rPr>
        <w:t>academic_performance_index</w:t>
      </w:r>
      <w:r>
        <w:t xml:space="preserve"> $r = -0.246$, </w:t>
      </w:r>
      <w:r>
        <w:rPr>
          <w:rFonts w:ascii="Consolas" w:hAnsi="Consolas"/>
          <w:rFonts w:ascii="Consolas" w:hAnsi="Consolas" w:cs="Consolas"/>
          <w:color w:val="1E293B"/>
        </w:rPr>
        <w:t>cgpa_midpoint</w:t>
      </w:r>
      <w:r>
        <w:t xml:space="preserve"> $r = -0.264$, </w:t>
      </w:r>
      <w:r>
        <w:rPr>
          <w:rFonts w:ascii="Consolas" w:hAnsi="Consolas"/>
          <w:rFonts w:ascii="Consolas" w:hAnsi="Consolas" w:cs="Consolas"/>
          <w:color w:val="1E293B"/>
        </w:rPr>
        <w:t>screen_to_sleep_ratio</w:t>
      </w:r>
      <w:r>
        <w:t xml:space="preserve"> $r = 0.219$, </w:t>
      </w:r>
      <w:r>
        <w:rPr>
          <w:rFonts w:ascii="Consolas" w:hAnsi="Consolas"/>
          <w:rFonts w:ascii="Consolas" w:hAnsi="Consolas" w:cs="Consolas"/>
          <w:color w:val="1E293B"/>
        </w:rPr>
        <w:t>burnout_vulnerability_index</w:t>
      </w:r>
      <w:r>
        <w:t xml:space="preserve"> $r = 0.183$, </w:t>
      </w:r>
      <w:r>
        <w:rPr>
          <w:rFonts w:ascii="Consolas" w:hAnsi="Consolas"/>
          <w:rFonts w:ascii="Consolas" w:hAnsi="Consolas" w:cs="Consolas"/>
          <w:color w:val="1E293B"/>
        </w:rPr>
        <w:t>motivation_deficit_score</w:t>
      </w:r>
      <w:r>
        <w:t xml:space="preserve"> $r = 0.151$, </w:t>
      </w:r>
      <w:r>
        <w:rPr>
          <w:rFonts w:ascii="Consolas" w:hAnsi="Consolas"/>
          <w:rFonts w:ascii="Consolas" w:hAnsi="Consolas" w:cs="Consolas"/>
          <w:color w:val="1E293B"/>
        </w:rPr>
        <w:t>wellbeing_buffer</w:t>
      </w:r>
      <w:r>
        <w:t xml:space="preserve"> $r = -0.076$). While feature ablation (Section 6.1.1) confirmed that composite indices provide genuine empirical gains for non-linear tree models (+1.84% accuracy and +0.0238 AUC for Random Forest) without direct target leakage, these indices are construct-adjacent to the target, measuring concurrent behavioural and psychological strain rather than orthogonal physiological biomarkers.</w:t>
      </w:r>
    </w:p>
    <w:p>
      <w:pPr>
        <w:spacing w:after="80" w:line="276" w:lineRule="auto"/>
      </w:pPr>
      <w:r>
        <w:t>6. Authors’ Reflexivity and Dual-Role Limitation: The first author was responsible for survey collection, ML pipeline development, and qualitative coding. We used temporal separation (open qualitative coding prior to SHAP execution) and a 25% independent inter-rater check (Cohen’s $\kappa = 0.82$). Because qualitative sampling was stratified across pre-assigned survey burnout tiers, 100% concordance with interview-day self-reports reflects stratum stability rather than an independent blind validation.</w:t>
      </w:r>
    </w:p>
    <w:p>
      <w:pPr>
        <w:spacing w:after="80" w:line="276" w:lineRule="auto"/>
      </w:pPr>
      <w:r>
        <w:t>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Table 7,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[124, 125]. Moreover, the cohort was restricted to Bangladeshi universities, and thus the specific institutional dynamics – including the stigma of the National University system – may not directly translate to Western higher education contexts.</w:t>
      </w:r>
    </w:p>
    <w:p>
      <w:pPr>
        <w:spacing w:after="80" w:line="276" w:lineRule="auto"/>
      </w:pPr>
      <w:r>
        <w:t>8. Qualitative Subgroup Sample Constraints: Similarly, the emergent qualitative theme of 'low-pressure institutional burnout' was identified from the two National University participants ($n = 2$) included in the purposive interview sample ($N = 20$). While providing rich hypothesis-generating context on institutional stigma, this sub-group finding should be interpreted as exploratory pending larger dedicated investigations.</w:t>
      </w:r>
    </w:p>
    <w:p>
      <w:pPr>
        <w:spacing w:after="80" w:line="276" w:lineRule="auto"/>
      </w:pPr>
      <w:r>
        <w:t>9. Multi-Institutional Clustering and Non-Independence of Observations: Survey participants were recruited across 11 distinct higher education institutions (8 private, 1 public, 2 National University affiliated colleges). Standard classification algorithms and inferential statistics treated the sample as pooled independent observations without explicit hierarchical linear modeling or institutional random effects. Unmodeled intraclass correlations (ICC) across campuses represent an unmeasured source of institutional clustering that multi-level modeling should address in future work.</w:t>
      </w:r>
    </w:p>
    <w:p>
      <w:pPr>
        <w:spacing w:after="80" w:line="276" w:lineRule="auto"/>
      </w:pPr>
      <w:r>
        <w:t>10. Unmeasured Disciplinary Confounders: Academic major (e.g., Computer Science and Engineering vs. Humanities vs. Business) was omitted from the quantitative survey to safeguard student anonymity, despite qualitative evidence that engineering students experience distinct curriculum and grading pressures. Future survey administrations should include broad discipline categorizations.</w:t>
      </w:r>
    </w:p>
    <w:p>
      <w:pPr>
        <w:spacing w:after="80" w:line="276" w:lineRule="auto"/>
      </w:pPr>
      <w:r>
        <w:t>11. Discrete Interval-Midpoint Scaling: Daily time budgets (study, sleep, social media, exercise), attendance, and CGPA were collected as categorical interval brackets to maximize response completion and subsequently converted to discrete midpoints (Table 2). While effective for exploratory survey modeling, these binned approximations lack the granularity of continuous sensor-derived time tracking.</w:t>
      </w:r>
    </w:p>
    <w:p>
      <w:pPr>
        <w:spacing w:after="80" w:line="276" w:lineRule="auto"/>
      </w:pPr>
      <w:r>
        <w:t>12. Qualitative Low Burnout Subsample Under-Representation: The purposive qualitative sample (N = 20) was stratified to prioritise participants with moderate and high burnout severity, resulting in only n = 2 Low Burnout participants (P5, P7). While this distribution reflects the quantitative prevalence imbalance in the original sample (Low Burnout: 19.47%), it substantially limits the interpretive evidence base for protective-factor analysis and comparisons between low- and high-burnout experience. Any qualitative claims regarding "protective" lifestyle patterns in Low Burnout students are derived from a thin evidential base and should be interpreted with corresponding caution.</w:t>
      </w:r>
    </w:p>
    <w:p>
      <w:pPr>
        <w:pStyle w:val="Heading4"/>
        <w:spacing w:before="160" w:after="40"/>
      </w:pPr>
      <w:r>
        <w:t>9.10.2 Directions for Future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identified a modest, statistically significant, predictive signal for student burnout. The best-performing Random Forest and Soft Voting Ensemble models achieved cross-validated accuracy of 65.89% (ROC-AUC = 0.7126) and 65.89% (ROC-AUC = 0.7069) respectively on inherently noisy self-report data — representing an 8.32 percentage-point gain over the majority baseline and a meaningful exploratory screening signal above chance-level prediction.</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contextualised this computational hierarchy. The qualitative stream showed strong convergence with the SHAP values and identified a consistent co-occurrence pattern: students reporting extreme career anxiety (CGPA pressure or institutional stigma) concurrently reported high social media use (often 5 hours/day) as a maladaptive coping mechanism, which appeared to displace restorative sleep and co-occur with chronic burnout. Crucially, the qualitative analysis also identified an exploratory finding of “low-pressure burnout” among National University students, in which exhaustion appeared to be associated with institutional marginalisation and career hopelessness rather than heavy academic workload — a hypothesis-generating pattern warranting confirmatory investigation in dedicated future studies.</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 xml:space="preserve">6. Translate Empirical Models into Accessible Web-Based Screening Tools. To bridge the gap between academic machine learning research and immediate student support, the study's champion Random Forest classifier, composite index formulations, calibrated screening thresholds ($\theta = 0.38$), and game-theoretic SHAP feature-attribution engine have been implemented as an open-access, privacy-first web application ("Burnout Radar", publicly hosted at: </w:t>
      </w:r>
      <w:r>
        <w:rPr>
          <w:rFonts w:ascii="Consolas" w:hAnsi="Consolas"/>
          <w:rFonts w:ascii="Consolas" w:hAnsi="Consolas" w:cs="Consolas"/>
          <w:color w:val="1E293B"/>
        </w:rPr>
        <w:t>https://burnoutwebapplication.netlify.app/</w:t>
      </w:r>
      <w:r>
        <w:t>). This platform allows university students to privately evaluate their behavioral risk factors (such as screen-to-sleep displacement) without transmitting or storing personal data, providing personalized mitigation strategies alongside verified Bangladesh mental health crisis contacts (e.g., Kaan Pete Roi: +880 1779 554391, National Mental Health Helpline: 16122).</w:t>
      </w:r>
    </w:p>
    <w:p>
      <w:pPr>
        <w:pStyle w:val="Heading2"/>
        <w:spacing w:before="240" w:after="80"/>
      </w:pPr>
      <w:r>
        <w:rPr>
          <w:color w:val="1E3A8A"/>
        </w:rPr>
        <w:t>Declarations</w:t>
      </w:r>
    </w:p>
    <w:p>
      <w:pPr>
        <w:pStyle w:val="Heading3"/>
        <w:spacing w:before="200" w:after="60"/>
      </w:pPr>
      <w:r>
        <w:rPr>
          <w:color w:val="047857"/>
        </w:rPr>
        <w:t>Ethics Approval and Consent to Participate</w:t>
      </w:r>
    </w:p>
    <w:p>
      <w:pPr>
        <w:spacing w:after="80" w:line="276" w:lineRule="auto"/>
      </w:pPr>
      <w:r>
        <w:t>This study was conducted in accordance with the ethical principles outlined in the Declaration of Helsinki for research involving human subjects. The target population comprised university students enrolled in tertiary education institutions in Bangladesh, including a freshman transition cohort (aged 17–18 years) who had completed Higher Secondary Certificate (HSC) examinations and transitioned into undergraduate study. Because the research involved an observational, non-invasive cross-sectional survey and voluntary qualitative interviews carrying minimal psychological risk, participation was strictly voluntary. Formal ethics committee review was exempt under institutional minimal-risk educational research guidelines of the affiliated institution (American International University-Bangladesh, Department of Computer Science; exemption category: anonymous observational survey research involving no deception, no sensitive personal data collection beyond academic self-report, and no intervention; institution: American International University-Bangladesh, AIUB, where the first author was enrolled during data collection — see Affiliation Note, p. 1). Electronic informed consent was explicitly obtained from all respondents prior to survey participation and qualitative interviewing, explaining the study purpose, voluntary nature, right to withdraw, and data handling procedures. Full anonymity was strictly maintained across all published data and quotes using standardized pseudonyms, and de-identified data were stored securely in encrypted storage.</w:t>
      </w:r>
    </w:p>
    <w:p>
      <w:pPr>
        <w:pStyle w:val="Heading3"/>
        <w:spacing w:before="200" w:after="60"/>
      </w:pPr>
      <w:r>
        <w:rPr>
          <w:color w:val="047857"/>
        </w:rPr>
        <w:t>Consent for Publication</w:t>
      </w:r>
    </w:p>
    <w:p>
      <w:pPr>
        <w:spacing w:after="80" w:line="276" w:lineRule="auto"/>
      </w:pPr>
      <w:r>
        <w:t>All participants granted explicit consent for anonymized statistical data and verbatim qualitative quotes to be published in peer-reviewed scientific journals.</w:t>
      </w:r>
    </w:p>
    <w:p>
      <w:pPr>
        <w:pStyle w:val="Heading3"/>
        <w:spacing w:before="200" w:after="60"/>
      </w:pPr>
      <w:r>
        <w:rPr>
          <w:color w:val="047857"/>
        </w:rPr>
        <w:t>Availability of Data and Materials</w:t>
      </w:r>
    </w:p>
    <w:p>
      <w:pPr>
        <w:spacing w:after="80" w:line="276" w:lineRule="auto"/>
      </w:pPr>
      <w:r>
        <w:t>The complete de-identified quantitative survey dataset (</w:t>
      </w:r>
      <w:r>
        <w:rPr>
          <w:rFonts w:ascii="Consolas" w:hAnsi="Consolas"/>
          <w:rFonts w:ascii="Consolas" w:hAnsi="Consolas" w:cs="Consolas"/>
          <w:color w:val="1E293B"/>
        </w:rPr>
        <w:t>Quantitative_Survey_Data.xlsx</w:t>
      </w:r>
      <w:r>
        <w:t>), anonymized qualitative interview codebook and transcript excerpt table (</w:t>
      </w:r>
      <w:r>
        <w:rPr>
          <w:rFonts w:ascii="Consolas" w:hAnsi="Consolas"/>
          <w:rFonts w:ascii="Consolas" w:hAnsi="Consolas" w:cs="Consolas"/>
          <w:color w:val="1E293B"/>
        </w:rPr>
        <w:t>Qualitative_Interview_Transcripts_Anonymized.pdf</w:t>
      </w:r>
      <w:r>
        <w:t>), modular feature engineering script (</w:t>
      </w:r>
      <w:r>
        <w:rPr>
          <w:rFonts w:ascii="Consolas" w:hAnsi="Consolas"/>
          <w:rFonts w:ascii="Consolas" w:hAnsi="Consolas" w:cs="Consolas"/>
          <w:color w:val="1E293B"/>
        </w:rPr>
        <w:t>feature_engineering.py</w:t>
      </w:r>
      <w:r>
        <w:t>), machine learning training script (</w:t>
      </w:r>
      <w:r>
        <w:rPr>
          <w:rFonts w:ascii="Consolas" w:hAnsi="Consolas"/>
          <w:rFonts w:ascii="Consolas" w:hAnsi="Consolas" w:cs="Consolas"/>
          <w:color w:val="1E293B"/>
        </w:rPr>
        <w:t>train_ml.py</w:t>
      </w:r>
      <w:r>
        <w:t>), SHAP evaluation pipeline (</w:t>
      </w:r>
      <w:r>
        <w:rPr>
          <w:rFonts w:ascii="Consolas" w:hAnsi="Consolas"/>
          <w:rFonts w:ascii="Consolas" w:hAnsi="Consolas" w:cs="Consolas"/>
          <w:color w:val="1E293B"/>
        </w:rPr>
        <w:t>run_shap.py</w:t>
      </w:r>
      <w:r>
        <w:t>), exact runtime dependency manifest (</w:t>
      </w:r>
      <w:r>
        <w:rPr>
          <w:rFonts w:ascii="Consolas" w:hAnsi="Consolas"/>
          <w:rFonts w:ascii="Consolas" w:hAnsi="Consolas" w:cs="Consolas"/>
          <w:color w:val="1E293B"/>
        </w:rPr>
        <w:t>requirements.txt</w:t>
      </w:r>
      <w:r>
        <w:t>), manuscript source (</w:t>
      </w:r>
      <w:r>
        <w:rPr>
          <w:rFonts w:ascii="Consolas" w:hAnsi="Consolas"/>
          <w:rFonts w:ascii="Consolas" w:hAnsi="Consolas" w:cs="Consolas"/>
          <w:color w:val="1E293B"/>
        </w:rPr>
        <w:t>Manuscript_Student_Burnout.md</w:t>
      </w:r>
      <w:r>
        <w:t xml:space="preserve">), and research repository are publicly deposited and freely available in an open-access GitHub repository at: </w:t>
      </w:r>
      <w:r>
        <w:rPr>
          <w:rFonts w:ascii="Consolas" w:hAnsi="Consolas"/>
          <w:rFonts w:ascii="Consolas" w:hAnsi="Consolas" w:cs="Consolas"/>
          <w:color w:val="1E293B"/>
        </w:rPr>
        <w:t>https://github.com/rifatmiah92/student-burnout-ml-mixed-methods</w:t>
      </w:r>
      <w:r>
        <w:t xml:space="preserve">. Furthermore, the interactive, client-side web screening application is deployed and publicly accessible at: </w:t>
      </w:r>
      <w:r>
        <w:rPr>
          <w:rFonts w:ascii="Consolas" w:hAnsi="Consolas"/>
          <w:rFonts w:ascii="Consolas" w:hAnsi="Consolas" w:cs="Consolas"/>
          <w:color w:val="1E293B"/>
        </w:rPr>
        <w:t>https://burnoutwebapplication.netlify.app/</w:t>
      </w:r>
      <w:r>
        <w:t xml:space="preserve"> (with source code repository at: </w:t>
      </w:r>
      <w:r>
        <w:rPr>
          <w:rFonts w:ascii="Consolas" w:hAnsi="Consolas"/>
          <w:rFonts w:ascii="Consolas" w:hAnsi="Consolas" w:cs="Consolas"/>
          <w:color w:val="1E293B"/>
        </w:rPr>
        <w:t>https://github.com/rifatmiah92/Burnout-web-application</w:t>
      </w:r>
      <w:r>
        <w:t>).</w:t>
      </w:r>
    </w:p>
    <w:p>
      <w:pPr>
        <w:pStyle w:val="Heading3"/>
        <w:spacing w:before="200" w:after="60"/>
      </w:pPr>
      <w:r>
        <w:rPr>
          <w:color w:val="047857"/>
        </w:rP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pStyle w:val="Heading3"/>
        <w:spacing w:before="200" w:after="60"/>
      </w:pPr>
      <w:r>
        <w:rPr>
          <w:color w:val="047857"/>
        </w:rPr>
        <w:t>Funding Statement</w:t>
      </w:r>
    </w:p>
    <w:p>
      <w:pPr>
        <w:spacing w:after="80" w:line="276" w:lineRule="auto"/>
      </w:pPr>
      <w:r>
        <w:t>This research received no specific grant or financial support from any funding agency in the public, commercial, or not-for-profit sectors.</w:t>
      </w:r>
    </w:p>
    <w:p>
      <w:pPr>
        <w:pStyle w:val="Heading3"/>
        <w:spacing w:before="200" w:after="60"/>
      </w:pPr>
      <w:r>
        <w:rPr>
          <w:color w:val="047857"/>
        </w:rP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1"/>
        <w:spacing w:before="280" w:after="120"/>
      </w:pPr>
      <w:r>
        <w:rPr>
          <w:color w:val="0F172A"/>
        </w:rPr>
        <w:t>References</w:t>
      </w:r>
    </w:p>
    <w:p>
      <w:pPr>
        <w:spacing w:after="80" w:line="276" w:lineRule="auto"/>
        <w:ind w:left="432" w:hanging="432"/>
      </w:pPr>
      <w:r>
        <w:t>[1] Madigan, D. J., &amp; Curran, T. (2021). Does burnout affect academic achievement? A meta-analysis of over 100,000 students. Educational Psychology Review, 33(2), 387-405. https://doi.org/10.1007/s10648-020-09533-1</w:t>
      </w:r>
    </w:p>
    <w:p>
      <w:pPr>
        <w:spacing w:after="80" w:line="276" w:lineRule="auto"/>
        <w:ind w:left="432" w:hanging="432"/>
      </w:pPr>
      <w:r>
        <w:t>[2] Maslach, C., &amp; Leiter, M. P. (2016). Understanding the burnout experience: Recent research and its implications for psychiatry. World Psychiatry, 15(2), 103-111. https://doi.org/10.1002/wps.20311</w:t>
      </w:r>
    </w:p>
    <w:p>
      <w:pPr>
        <w:spacing w:after="80" w:line="276" w:lineRule="auto"/>
        <w:ind w:left="432" w:hanging="432"/>
      </w:pPr>
      <w:r>
        <w:t>[3] Salmela-Aro, K., &amp; Read, S. (2017). Study engagement and burnout profiles among Finnish higher education students. Burnout Research, 7, 21-28. https://doi.org/10.1016/j.burn.2017.11.001</w:t>
      </w:r>
    </w:p>
    <w:p>
      <w:pPr>
        <w:spacing w:after="80" w:line="276" w:lineRule="auto"/>
        <w:ind w:left="432" w:hanging="432"/>
      </w:pPr>
      <w:r>
        <w:t>[4] Vizoso, C., Arias-Gundin, O., &amp; Rodriguez, C. (2019). Coping, academic engagement and performance in university students. Higher Education Research &amp; Development, 38(7), 1515-1529. https://doi.org/10.1080/07294360.2018.1504006</w:t>
      </w:r>
    </w:p>
    <w:p>
      <w:pPr>
        <w:spacing w:after="80" w:line="276" w:lineRule="auto"/>
        <w:ind w:left="432" w:hanging="432"/>
      </w:pPr>
      <w:r>
        <w:t>[5] World Health Organization. (2019). International statistical classification of diseases and related health problems (11th ed.). World Health Organization. https://icd.who.int/</w:t>
      </w:r>
    </w:p>
    <w:p>
      <w:pPr>
        <w:spacing w:after="80" w:line="276" w:lineRule="auto"/>
        <w:ind w:left="432" w:hanging="432"/>
      </w:pPr>
      <w:r>
        <w:t>[6] Maslach, C., Schaufeli, W. B., &amp; Leiter, M. P. (2001). Job burnout. Annual Review of Psychology, 52(1), 397-422. https://doi.org/10.1146/annurev.psych.52.1.397</w:t>
      </w:r>
    </w:p>
    <w:p>
      <w:pPr>
        <w:spacing w:after="80" w:line="276" w:lineRule="auto"/>
        <w:ind w:left="432" w:hanging="432"/>
      </w:pPr>
      <w:r>
        <w:t>[7] Schaufeli, W. B., Martinez, I. M., Pinto, A. M., Salanova, M., &amp; Bakker, A. B. (2002). Burnout and engagement in university students: A cross-national study. Journal of Cross-Cultural Psychology, 33(5), 464-481. https://doi.org/10.1177/0022022102033005003</w:t>
      </w:r>
    </w:p>
    <w:p>
      <w:pPr>
        <w:spacing w:after="80" w:line="276" w:lineRule="auto"/>
        <w:ind w:left="432" w:hanging="432"/>
      </w:pPr>
      <w:r>
        <w:t>[8] Frajerman, A., Morvan, Y., Krebs, M. O., Gorwood, P., &amp; Chaumette, B. (2019). Burnout in medical students before residency: A systematic review and meta-analysis. European Psychiatry, 55, 36-42. https://doi.org/10.1016/j.eurpsy.2018.08.006</w:t>
      </w:r>
    </w:p>
    <w:p>
      <w:pPr>
        <w:spacing w:after="80" w:line="276" w:lineRule="auto"/>
        <w:ind w:left="432" w:hanging="432"/>
      </w:pPr>
      <w:r>
        <w:t>[9] Erschens, R., Keifenheim, K. E., Herrmann-Werner, A., Loda, T., Schwille-Kiuntke, J., Bugaj, T. J., Nikendei, C., Huhn, D., Zipfel, S., &amp; Junne, F. (2019). Professional burnout among medical students: Systematic literature review and meta-analysis. Medical Teacher, 41(2), 172-183. https://doi.org/10.1080/0142159X.2018.1457213</w:t>
      </w:r>
    </w:p>
    <w:p>
      <w:pPr>
        <w:spacing w:after="80" w:line="276" w:lineRule="auto"/>
        <w:ind w:left="432" w:hanging="432"/>
      </w:pPr>
      <w:r>
        <w:t>[10] Almutairi, H., Alsubaiei, A., Abduljawad, S., Alshatti, A., Fekih-Romdhane, F., Husni, M., &amp; Jahrami, H. (2022). Prevalence of burnout in medical students: A systematic review and meta-analysis. International Journal of Social Psychiatry, 68(6), 1157-1170. https://doi.org/10.1177/00207640221106691</w:t>
      </w:r>
    </w:p>
    <w:p>
      <w:pPr>
        <w:spacing w:after="80" w:line="276" w:lineRule="auto"/>
        <w:ind w:left="432" w:hanging="432"/>
      </w:pPr>
      <w:r>
        <w:t>[11] Islam, M. S., Sujan, M. S. H., Tasnim, R., Sikder, M. T., Potenza, M. N., &amp; van Os, J. (2020). Psychological responses during the COVID-19 outbreak among university students in Bangladesh. PLOS ONE, 15(12), e0244109. https://doi.org/10.1371/journal.pone.0244109</w:t>
      </w:r>
    </w:p>
    <w:p>
      <w:pPr>
        <w:spacing w:after="80" w:line="276" w:lineRule="auto"/>
        <w:ind w:left="432" w:hanging="432"/>
      </w:pPr>
      <w:r>
        <w:t>[12] Mamun, M. A., Hossain, M. S., Siddique, A. B., Sikder, M. T., Kuss, D. J., &amp; Griffiths, M. D. (2021). Problematic internet use in Bangladeshi students: The role of socio-demographic factors, depression, anxiety, and stress. Asian Journal of Psychiatry, 44, 48-54. https://doi.org/10.1016/j.ajp.2019.07.005</w:t>
      </w:r>
    </w:p>
    <w:p>
      <w:pPr>
        <w:spacing w:after="80" w:line="276" w:lineRule="auto"/>
        <w:ind w:left="432" w:hanging="432"/>
      </w:pPr>
      <w:r>
        <w:t>[13]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ind w:left="432" w:hanging="432"/>
      </w:pPr>
      <w:r>
        <w:t>[14] Faisal, R. A., Jobe, M. C., Ahmed, O., &amp; Sharker, T. (2022). Mental health status, anxiety, and depression levels of Bangladeshi university students during the COVID-19 pandemic. International Journal of Mental Health and Addiction, 20(3), 1500-1515. https://doi.org/10.1007/s11469-020-00458-y</w:t>
      </w:r>
    </w:p>
    <w:p>
      <w:pPr>
        <w:spacing w:after="80" w:line="276" w:lineRule="auto"/>
        <w:ind w:left="432" w:hanging="432"/>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ind w:left="432" w:hanging="432"/>
      </w:pPr>
      <w:r>
        <w:t>[16] Manzano-Garcia, G., &amp; Ayala-Calvo, J. C. (2013). New perspectives: Towards an integration of the concept "burnout" and its explanatory models. Anales de Psicologia, 29(3), 800-809. https://doi.org/10.6018/analesps.29.3.161241</w:t>
      </w:r>
    </w:p>
    <w:p>
      <w:pPr>
        <w:spacing w:after="80" w:line="276" w:lineRule="auto"/>
        <w:ind w:left="432" w:hanging="432"/>
      </w:pPr>
      <w:r>
        <w:t>[17] Hastie, T., Tibshirani, R., &amp; Friedman, J. (2009). The elements of statistical learning: Data mining, inference, and prediction (2nd ed.). Springer. https://doi.org/10.1007/978-0-387-84858-7</w:t>
      </w:r>
    </w:p>
    <w:p>
      <w:pPr>
        <w:spacing w:after="80" w:line="276" w:lineRule="auto"/>
        <w:ind w:left="432" w:hanging="432"/>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ind w:left="432" w:hanging="432"/>
      </w:pPr>
      <w:r>
        <w:t>[19] Iatrellis, O., Savvas, I. K., Fitsilis, P., &amp; Gerogiannis, V. C. (2021). A two-phase machine learning approach for predicting student outcomes. Education and Information Technologies, 26(1), 69-88. https://doi.org/10.1007/s10639-020-10260-x</w:t>
      </w:r>
    </w:p>
    <w:p>
      <w:pPr>
        <w:spacing w:after="80" w:line="276" w:lineRule="auto"/>
        <w:ind w:left="432" w:hanging="432"/>
      </w:pPr>
      <w:r>
        <w:t>[20] Namoun, A., &amp; Alshanqiti, A. (2021). Predicting student performance using data mining and learning analytics techniques: A systematic review. Applied Sciences, 11(1), 237. https://doi.org/10.3390/app11010237</w:t>
      </w:r>
    </w:p>
    <w:p>
      <w:pPr>
        <w:spacing w:after="80" w:line="276" w:lineRule="auto"/>
        <w:ind w:left="432" w:hanging="432"/>
      </w:pPr>
      <w:r>
        <w:t>[21] Gunning, D., Stefik, M., Choi, J., Miller, T., Stumpf, S., &amp; Yang, G. Z. (2019). XAI - Explainable artificial intelligence. Science Robotics, 4(37), eaay7120. https://doi.org/10.1126/scirobotics.aay7120</w:t>
      </w:r>
    </w:p>
    <w:p>
      <w:pPr>
        <w:spacing w:after="80" w:line="276" w:lineRule="auto"/>
        <w:ind w:left="432" w:hanging="432"/>
      </w:pPr>
      <w:r>
        <w:t>[22] Molnar, C. (2022). Interpretable machine learning: A guide for making black box models explainable (2nd ed.). Independently Published.</w:t>
      </w:r>
    </w:p>
    <w:p>
      <w:pPr>
        <w:spacing w:after="80" w:line="276" w:lineRule="auto"/>
        <w:ind w:left="432" w:hanging="432"/>
      </w:pPr>
      <w:r>
        <w:t>[23] Lundberg, S. M., &amp; Lee, S.-I. (2017). A unified approach to interpreting model predictions. Advances in Neural Information Processing Systems, 30, 4765-4774.</w:t>
      </w:r>
    </w:p>
    <w:p>
      <w:pPr>
        <w:spacing w:after="80" w:line="276" w:lineRule="auto"/>
        <w:ind w:left="432" w:hanging="432"/>
      </w:pPr>
      <w:r>
        <w:t>[24] Fisher, A., Rudin, C., &amp; Dominici, F. (2019). All models are wrong, but many are useful: Learning a variable's importance by studying an entire class of prediction models simultaneously. Journal of Machine Learning Research, 20(177), 1-81.</w:t>
      </w:r>
    </w:p>
    <w:p>
      <w:pPr>
        <w:spacing w:after="80" w:line="276" w:lineRule="auto"/>
        <w:ind w:left="432" w:hanging="432"/>
      </w:pPr>
      <w:r>
        <w:t>[25] Rajkomar, A., Hardt, M., Howell, M. D., Corrado, G., &amp; Kipnis, M. H. (2018). Ensuring fairness in machine learning to advance health equity. Annals of Internal Medicine, 169(12), 866-872. https://doi.org/10.7326/M18-1990</w:t>
      </w:r>
    </w:p>
    <w:p>
      <w:pPr>
        <w:spacing w:after="80" w:line="276" w:lineRule="auto"/>
        <w:ind w:left="432" w:hanging="432"/>
      </w:pPr>
      <w:r>
        <w:t>[26] Creswell, J. W., &amp; Plano Clark, V. L. (2018). Designing and conducting mixed methods research (3rd ed.). SAGE Publications.</w:t>
      </w:r>
    </w:p>
    <w:p>
      <w:pPr>
        <w:spacing w:after="80" w:line="276" w:lineRule="auto"/>
        <w:ind w:left="432" w:hanging="432"/>
      </w:pPr>
      <w:r>
        <w:t>[27] Tashakkori, A., &amp; Teddlie, C. (2010). SAGE handbook of mixed methods in social &amp; behavioral research (2nd ed.). SAGE Publications. https://doi.org/10.4135/9781506335193</w:t>
      </w:r>
    </w:p>
    <w:p>
      <w:pPr>
        <w:spacing w:after="80" w:line="276" w:lineRule="auto"/>
        <w:ind w:left="432" w:hanging="432"/>
      </w:pPr>
      <w:r>
        <w:t>[28] Denzin, N. K. (1978). The research act: A theoretical introduction to sociological methods (2nd ed.). McGraw-Hill.</w:t>
      </w:r>
    </w:p>
    <w:p>
      <w:pPr>
        <w:spacing w:after="80" w:line="276" w:lineRule="auto"/>
        <w:ind w:left="432" w:hanging="432"/>
      </w:pPr>
      <w:r>
        <w:t>[29] Johnson, R. B., Onwuegbuzie, A. J., &amp; Turner, L. A. (2007). Toward a definition of mixed methods research. Journal of Mixed Methods Research, 1(2), 112-133. https://doi.org/10.1177/1558689806298224</w:t>
      </w:r>
    </w:p>
    <w:p>
      <w:pPr>
        <w:spacing w:after="80" w:line="276" w:lineRule="auto"/>
        <w:ind w:left="432" w:hanging="432"/>
      </w:pPr>
      <w:r>
        <w:t>[30]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ind w:left="432" w:hanging="432"/>
      </w:pPr>
      <w:r>
        <w:t>[31]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p>
      <w:pPr>
        <w:spacing w:after="80" w:line="276" w:lineRule="auto"/>
        <w:ind w:left="432" w:hanging="432"/>
      </w:pPr>
      <w:r>
        <w:t>[32] Hobfoll, S. E. (1989). Conservation of resources: A new attempt at conceptualizing stress. American Psychologist, 44(3), 513-524. https://doi.org/10.1037/0003-066X.44.3.513</w:t>
      </w:r>
    </w:p>
    <w:p>
      <w:pPr>
        <w:spacing w:after="80" w:line="276" w:lineRule="auto"/>
        <w:ind w:left="432" w:hanging="432"/>
      </w:pPr>
      <w:r>
        <w:t>[33] Salmela-Aro, K., &amp; Upadyaya, K. (2014). School burnout and engagement in the context of demands-resources model. British Journal of Educational Psychology, 84(1), 137-151. https://doi.org/10.1111/bjep.12018</w:t>
      </w:r>
    </w:p>
    <w:p>
      <w:pPr>
        <w:spacing w:after="80" w:line="276" w:lineRule="auto"/>
        <w:ind w:left="432" w:hanging="432"/>
      </w:pPr>
      <w:r>
        <w:t>[34] Chen, T., &amp; Guestrin, C. (2016). XGBoost: A scalable tree boosting system. In Proceedings of the 22nd ACM SIGKDD International Conference on Knowledge Discovery and Data Mining (pp. 785-794). ACM. https://doi.org/10.1145/2939672.2939785</w:t>
      </w:r>
    </w:p>
    <w:p>
      <w:pPr>
        <w:spacing w:after="80" w:line="276" w:lineRule="auto"/>
        <w:ind w:left="432" w:hanging="432"/>
      </w:pPr>
      <w:r>
        <w:t>[35] Ke, G., Meng, Q., Finley, T., Wang, T., Chen, W., Ma, W., Ye, Q., &amp; Liu, T. Y. (2017). LightGBM: A highly efficient gradient boosting decision tree. Advances in Neural Information Processing Systems, 30, 3146-3154.</w:t>
      </w:r>
    </w:p>
    <w:p>
      <w:pPr>
        <w:spacing w:after="80" w:line="276" w:lineRule="auto"/>
        <w:ind w:left="432" w:hanging="432"/>
      </w:pPr>
      <w:r>
        <w:t>[36] Prokhorenkova, L., Gusev, G., Vorobev, A., Dorogush, A. V., &amp; Gulin, A. (2018). CatBoost: Unbiased boosting with categorical features. Advances in Neural Information Processing Systems, 31, 6638-6648.</w:t>
      </w:r>
    </w:p>
    <w:p>
      <w:pPr>
        <w:spacing w:after="80" w:line="276" w:lineRule="auto"/>
        <w:ind w:left="432" w:hanging="432"/>
      </w:pPr>
      <w:r>
        <w:t>[37] Hobfoll, S. E., Halbesleben, J., Neveu, J. P., &amp; Westman, M. (2018). Conservation of resources in the organizational context: The reality of resources and their consequences. Annual Review of Organizational Psychology and Organizational Behavior, 5, 103-128. https://doi.org/10.1146/annurev-orgpsych-032117-104640</w:t>
      </w:r>
    </w:p>
    <w:p>
      <w:pPr>
        <w:spacing w:after="80" w:line="276" w:lineRule="auto"/>
        <w:ind w:left="432" w:hanging="432"/>
      </w:pPr>
      <w:r>
        <w:t>[38] Bakker, A. B., &amp; Demerouti, E. (2007). The job demands-resources model: State of the art. Journal of Managerial Psychology, 22(3), 309-328. https://doi.org/10.1108/02683940710733115</w:t>
      </w:r>
    </w:p>
    <w:p>
      <w:pPr>
        <w:spacing w:after="80" w:line="276" w:lineRule="auto"/>
        <w:ind w:left="432" w:hanging="432"/>
      </w:pPr>
      <w:r>
        <w:t>[39] Bakker, A. B., &amp; Demerouti, E. (2017). Job demands-resources theory: Taking stock and looking forward. Journal of Occupational Health Psychology, 22(3), 273-285. https://doi.org/10.1037/ocp0000056</w:t>
      </w:r>
    </w:p>
    <w:p>
      <w:pPr>
        <w:spacing w:after="80" w:line="276" w:lineRule="auto"/>
        <w:ind w:left="432" w:hanging="432"/>
      </w:pPr>
      <w:r>
        <w:t>[40] Ryan, R. M., &amp; Deci, E. L. (2017). Self-determination theory: Basic psychological needs in motivation, development, and wellness. Guilford Publications. https://doi.org/10.1521/978.14625/28806</w:t>
      </w:r>
    </w:p>
    <w:p>
      <w:pPr>
        <w:spacing w:after="80" w:line="276" w:lineRule="auto"/>
        <w:ind w:left="432" w:hanging="432"/>
      </w:pPr>
      <w:r>
        <w:t>[41] Deci, E. L., &amp; Ryan, R. M. (2000). The "what" and "why" of goal pursuits: Human needs and the self-determination of behavior. Psychological Inquiry, 11(4), 227-268. https://doi.org/10.1207/S15327965PLI1104_01</w:t>
      </w:r>
    </w:p>
    <w:p>
      <w:pPr>
        <w:spacing w:after="80" w:line="276" w:lineRule="auto"/>
        <w:ind w:left="432" w:hanging="432"/>
      </w:pPr>
      <w:r>
        <w:t>[42] Steyerberg, E. W., &amp; Harrell, F. E. (2016). Prediction models need appropriate internal, internal-external, and external validation. Journal of Clinical Epidemiology, 69, 245-247. https://doi.org/10.1016/j.jclinepi.2015.04.005</w:t>
      </w:r>
    </w:p>
    <w:p>
      <w:pPr>
        <w:spacing w:after="80" w:line="276" w:lineRule="auto"/>
        <w:ind w:left="432" w:hanging="432"/>
      </w:pPr>
      <w:r>
        <w:t>[43] Freudenberger, H. J. (1974). Staff burn-out. Journal of Social Issues, 30(1), 159-165. https://doi.org/10.1111/j.1540-4560.1974.tb00706.x</w:t>
      </w:r>
    </w:p>
    <w:p>
      <w:pPr>
        <w:spacing w:after="80" w:line="276" w:lineRule="auto"/>
        <w:ind w:left="432" w:hanging="432"/>
      </w:pPr>
      <w:r>
        <w:t>[44] Maslach, C., &amp; Jackson, S. E. (1981). The measurement of experienced burnout. Journal of Occupational Behavior, 2(2), 99-113. https://doi.org/10.1002/job.4030020205</w:t>
      </w:r>
    </w:p>
    <w:p>
      <w:pPr>
        <w:spacing w:after="80" w:line="276" w:lineRule="auto"/>
        <w:ind w:left="432" w:hanging="432"/>
      </w:pPr>
      <w:r>
        <w:t>[45] Schaufeli, W. B., Bakker, A. B., &amp; Van Rhenen, W. (2009). How changes in job demands and resources predict burnout, work engagement, and sickness absenteeism. Journal of Organizational Behavior, 30(7), 893-917. https://doi.org/10.1002/job.595</w:t>
      </w:r>
    </w:p>
    <w:p>
      <w:pPr>
        <w:spacing w:after="80" w:line="276" w:lineRule="auto"/>
        <w:ind w:left="432" w:hanging="432"/>
      </w:pPr>
      <w:r>
        <w:t>[46] Fazullina, G., Sagitova, R., &amp; Khakimova, R. (2020). Burnout syndrome among university students. Revista Inclusiones, 7, 223-233.</w:t>
      </w:r>
    </w:p>
    <w:p>
      <w:pPr>
        <w:spacing w:after="80" w:line="276" w:lineRule="auto"/>
        <w:ind w:left="432" w:hanging="432"/>
      </w:pPr>
      <w:r>
        <w:t>[47] Robins, T. G., Roberts, R. M., &amp; Sarris, A. (2018). Burnout and engagement in health profession students. Nurse Education Today, 69, 100-104. https://doi.org/10.1016/j.nedt.2018.07.004</w:t>
      </w:r>
    </w:p>
    <w:p>
      <w:pPr>
        <w:spacing w:after="80" w:line="276" w:lineRule="auto"/>
        <w:ind w:left="432" w:hanging="432"/>
      </w:pPr>
      <w:r>
        <w:t>[48]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ind w:left="432" w:hanging="432"/>
      </w:pPr>
      <w:r>
        <w:t>[49] Lin, S. H., &amp; Huang, Y. C. (2014). Life stress and academic burnout. Active Learning in Higher Education, 15(1), 77-90. https://doi.org/10.1177/1469787413514651</w:t>
      </w:r>
    </w:p>
    <w:p>
      <w:pPr>
        <w:spacing w:after="80" w:line="276" w:lineRule="auto"/>
        <w:ind w:left="432" w:hanging="432"/>
      </w:pPr>
      <w:r>
        <w:t>[50] Walburg, V. (2014). Burnout among high school students: A literature review. Children and Youth Services Review, 42, 28-33. https://doi.org/10.1016/j.childyouth.2014.03.020</w:t>
      </w:r>
    </w:p>
    <w:p>
      <w:pPr>
        <w:spacing w:after="80" w:line="276" w:lineRule="auto"/>
        <w:ind w:left="432" w:hanging="432"/>
      </w:pPr>
      <w:r>
        <w:t>[51] Koutsimani, P., Montgomery, A., &amp; Georganta, K. (2019). The relationship between burnout, depression, and anxiety: A systematic review and meta-analysis. Frontiers in Psychology, 10, 284. https://doi.org/10.3389/fpsyg.2019.00284</w:t>
      </w:r>
    </w:p>
    <w:p>
      <w:pPr>
        <w:spacing w:after="80" w:line="276" w:lineRule="auto"/>
        <w:ind w:left="432" w:hanging="432"/>
      </w:pPr>
      <w:r>
        <w:t>[52] Riaz, M., Ali, M., &amp; Tariq, A. (2021). Psychological burden and coping strategies among university students during times of systemic crisis. International Journal of Mental Health Systems, 15(1), 1-9. https://doi.org/10.1186/s13033-021-00468-2</w:t>
      </w:r>
    </w:p>
    <w:p>
      <w:pPr>
        <w:spacing w:after="80" w:line="276" w:lineRule="auto"/>
        <w:ind w:left="432" w:hanging="432"/>
      </w:pPr>
      <w:r>
        <w:t>[53] Shahidi, S., Akbari, H., &amp; Zargar, F. (2023). The role of anxiety sensitivity in academic burnout among university students. Current Psychology, 42(8), 6891-6900. https://doi.org/10.1007/s12144-021-02014-9</w:t>
      </w:r>
    </w:p>
    <w:p>
      <w:pPr>
        <w:spacing w:after="80" w:line="276" w:lineRule="auto"/>
        <w:ind w:left="432" w:hanging="432"/>
      </w:pPr>
      <w:r>
        <w:t>[54] Rahmati, Z. (2015). The study of academic burnout in students with high and low self-efficacy. Procedia - Social and Behavioral Sciences, 171, 49-55. https://doi.org/10.1016/j.sbspro.2015.01.087</w:t>
      </w:r>
    </w:p>
    <w:p>
      <w:pPr>
        <w:spacing w:after="80" w:line="276" w:lineRule="auto"/>
        <w:ind w:left="432" w:hanging="432"/>
      </w:pPr>
      <w:r>
        <w:t>[55] Jackson, E. R., Shanafelt, T. D., Hasan, O., Satele, D. V., &amp; Dyrbye, L. N. (2016). Burnout and alcohol abuse/dependence among US medical students. Academic Medicine, 91(9), 1251-1256. https://doi.org/10.1097/ACM.0000000000001138</w:t>
      </w:r>
    </w:p>
    <w:p>
      <w:pPr>
        <w:spacing w:after="80" w:line="276" w:lineRule="auto"/>
        <w:ind w:left="432" w:hanging="432"/>
      </w:pPr>
      <w:r>
        <w:t>[56] Dyrbye, L. N., Thomas, M. R., Massie, F. S., Power, D. V., Eacker, A., Harper, W., ... &amp; Shanafelt, T. D. (2008). Burnout and suicidal ideation among US medical students. Annals of Internal Medicine, 149(5), 334-341. https://doi.org/10.7326/0003-4819-149-5-200809020-00008</w:t>
      </w:r>
    </w:p>
    <w:p>
      <w:pPr>
        <w:spacing w:after="80" w:line="276" w:lineRule="auto"/>
        <w:ind w:left="432" w:hanging="432"/>
      </w:pPr>
      <w:r>
        <w:t>[57] Silva, R. M. D., Lopes, A. A. F., &amp; Ribeiro, H. K. P. (2022). Burnout syndrome among Brazilian university students. Revista Brasileira de Enfermagem, 75(4), e20210470. https://doi.org/10.1590/0034-7167-2021-0470</w:t>
      </w:r>
    </w:p>
    <w:p>
      <w:pPr>
        <w:spacing w:after="80" w:line="276" w:lineRule="auto"/>
        <w:ind w:left="432" w:hanging="432"/>
      </w:pPr>
      <w:r>
        <w:t>[58]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ind w:left="432" w:hanging="432"/>
      </w:pPr>
      <w:r>
        <w:t>[59] Dahlin, M. E., &amp; Runeson, B. (2007). Burnout and psychiatric morbidity among medical students entering clinical training. BMC Medical Education, 7(1), 1-8. https://doi.org/10.1186/1472-6920-7-6</w:t>
      </w:r>
    </w:p>
    <w:p>
      <w:pPr>
        <w:spacing w:after="80" w:line="276" w:lineRule="auto"/>
        <w:ind w:left="432" w:hanging="432"/>
      </w:pPr>
      <w:r>
        <w:t>[60]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ind w:left="432" w:hanging="432"/>
      </w:pPr>
      <w:r>
        <w:t>[61] Celik, E., &amp; Yildirim, T. (2022). Academic burnout among Turkish university students during the COVID-19 pandemic. International Journal of Educational Research Open, 3, 100147. https://doi.org/10.1016/j.ijedro.2022.100147</w:t>
      </w:r>
    </w:p>
    <w:p>
      <w:pPr>
        <w:spacing w:after="80" w:line="276" w:lineRule="auto"/>
        <w:ind w:left="432" w:hanging="432"/>
      </w:pPr>
      <w:r>
        <w:t>[62] Almeida, G. C., Souza, H. R., Almeida, P. C., Almeida, B. C., &amp; Almeida, G. H. (2021). The prevalence of burnout syndrome in medical students. Archives of Clinical Psychiatry, 48(1), 40-47. https://doi.org/10.1590/0101-60830000000282</w:t>
      </w:r>
    </w:p>
    <w:p>
      <w:pPr>
        <w:spacing w:after="80" w:line="276" w:lineRule="auto"/>
        <w:ind w:left="432" w:hanging="432"/>
      </w:pPr>
      <w:r>
        <w:t>[63] Bask, M., &amp; Salmela-Aro, K. (2013). Burned out to drop out: Exploring the relationship between school burnout and school dropout. European Journal of Psychology of Education, 28(2), 511-528. https://doi.org/10.1007/s10212-012-0126-5</w:t>
      </w:r>
    </w:p>
    <w:p>
      <w:pPr>
        <w:spacing w:after="80" w:line="276" w:lineRule="auto"/>
        <w:ind w:left="432" w:hanging="432"/>
      </w:pPr>
      <w:r>
        <w:t>[64] Bianchi, R., Schonfeld, I. S., &amp; Laurent, E. (2015). Burnout-depression overlap: A review. Clinical Psychology Review, 36, 28-41. https://doi.org/10.1016/j.cpr.2015.01.004</w:t>
      </w:r>
    </w:p>
    <w:p>
      <w:pPr>
        <w:spacing w:after="80" w:line="276" w:lineRule="auto"/>
        <w:ind w:left="432" w:hanging="432"/>
      </w:pPr>
      <w:r>
        <w:t>[65] Robotham, D., &amp; Julian, C. (2006). Stress and the higher education student: A critical review of the literature. Journal of Further and Higher Education, 30(2), 107-117. https://doi.org/10.1080/03098770600617562</w:t>
      </w:r>
    </w:p>
    <w:p>
      <w:pPr>
        <w:spacing w:after="80" w:line="276" w:lineRule="auto"/>
        <w:ind w:left="432" w:hanging="432"/>
      </w:pPr>
      <w:r>
        <w:t>[66] Alarcon, G., Eschleman, K. J., &amp; Bowling, N. A. (2009). Relationships between personality variables and burnout: A meta-analysis. Work &amp; Stress, 23(3), 244-263. https://doi.org/10.1080/02678370903282600</w:t>
      </w:r>
    </w:p>
    <w:p>
      <w:pPr>
        <w:spacing w:after="80" w:line="276" w:lineRule="auto"/>
        <w:ind w:left="432" w:hanging="432"/>
      </w:pPr>
      <w:r>
        <w:t>[67] Richardson, T., Elliott, P., &amp; Roberts, R. (2017). Relationship between loneliness and mental health in students. Journal of Public Mental Health, 16(2), 48-54. https://doi.org/10.1108/JPMH-03-2016-0013</w:t>
      </w:r>
    </w:p>
    <w:p>
      <w:pPr>
        <w:spacing w:after="80" w:line="276" w:lineRule="auto"/>
        <w:ind w:left="432" w:hanging="432"/>
      </w:pPr>
      <w:r>
        <w:t>[68] Walsemann, K. M., Gee, G. C., &amp; Gentile, D. (2015). Sick of our loans: Student borrowing and the mental health of young adults in the United States. Social Science &amp; Medicine, 124, 85-93. https://doi.org/10.1016/j.socscimed.2014.11.027</w:t>
      </w:r>
    </w:p>
    <w:p>
      <w:pPr>
        <w:spacing w:after="80" w:line="276" w:lineRule="auto"/>
        <w:ind w:left="432" w:hanging="432"/>
      </w:pPr>
      <w:r>
        <w:t>[69] Hershner, S. D., &amp; Chervin, R. D. (2014). Causes and consequences of sleepiness among college students. Nature and Science of Sleep, 6, 73-84. https://doi.org/10.2147/NSS.S62907</w:t>
      </w:r>
    </w:p>
    <w:p>
      <w:pPr>
        <w:spacing w:after="80" w:line="276" w:lineRule="auto"/>
        <w:ind w:left="432" w:hanging="432"/>
      </w:pPr>
      <w:r>
        <w:t>[70] Lund, H. G., Reider, B. D., Whiting, A. B., &amp; Prichard, J. R. (2010). Sleep patterns and predictors of disturbed sleep in a large population of college students. Journal of Adolescent Health, 46(2), 124-132. https://doi.org/10.1016/j.jadohealth.2009.06.016</w:t>
      </w:r>
    </w:p>
    <w:p>
      <w:pPr>
        <w:spacing w:after="80" w:line="276" w:lineRule="auto"/>
        <w:ind w:left="432" w:hanging="432"/>
      </w:pPr>
      <w:r>
        <w:t>[71]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ind w:left="432" w:hanging="432"/>
      </w:pPr>
      <w:r>
        <w:t>[72] Ahrberg, K., Dresler, M., Niedermaier, S., Steiger, A., &amp; Genzel, L. (2012). The interaction between sleep quality and academic performance. Journal of Psychiatric Research, 46(12), 1618-1622. https://doi.org/10.1016/j.jpsychires.2012.09.008</w:t>
      </w:r>
    </w:p>
    <w:p>
      <w:pPr>
        <w:spacing w:after="80" w:line="276" w:lineRule="auto"/>
        <w:ind w:left="432" w:hanging="432"/>
      </w:pPr>
      <w:r>
        <w:t>[73]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ind w:left="432" w:hanging="432"/>
      </w:pPr>
      <w:r>
        <w:t>[74] Naczenski, L. M., Vries, J. D., van Hooff, M. L., &amp; Kompier, M. A. (2017). Systematic review of the association between physical activity and burnout. Journal of Occupational Health, 59(6), 477-494. https://doi.org/10.1539/joh.17-0050-RA</w:t>
      </w:r>
    </w:p>
    <w:p>
      <w:pPr>
        <w:spacing w:after="80" w:line="276" w:lineRule="auto"/>
        <w:ind w:left="432" w:hanging="432"/>
      </w:pPr>
      <w:r>
        <w:t>[75] Woods, H. C., &amp; Scott, H. (2016). #Sleepyteens: Social media use in adolescence is associated with poor sleep quality, anxiety, depression and low self-esteem. Journal of Adolescence, 51, 41-49. https://doi.org/10.1016/j.adolescence.2016.05.008</w:t>
      </w:r>
    </w:p>
    <w:p>
      <w:pPr>
        <w:spacing w:after="80" w:line="276" w:lineRule="auto"/>
        <w:ind w:left="432" w:hanging="432"/>
      </w:pPr>
      <w:r>
        <w:t>[76] Primack, B. A., Shensa, A., Escobar-Viera, C. G., Barrett, E. L., Sidani, J. E., Colditz, J. B., &amp; James, A. E. (2017). Use of multiple social media platforms and symptoms of depression and anxiety. Computers in Human Behavior, 69, 1-9. https://doi.org/10.1016/j.chb.2016.11.013</w:t>
      </w:r>
    </w:p>
    <w:p>
      <w:pPr>
        <w:spacing w:after="80" w:line="276" w:lineRule="auto"/>
        <w:ind w:left="432" w:hanging="432"/>
      </w:pPr>
      <w:r>
        <w:t>[77] Plackett, R., Blythe, A., Copello, A., &amp; Mars, B. (2020). The impact of social media use on adolescent mental health: A structured review. Journal of Adolescent Health, 67(1), 12-21. https://doi.org/10.1016/j.jadohealth.2020.01.015</w:t>
      </w:r>
    </w:p>
    <w:p>
      <w:pPr>
        <w:spacing w:after="80" w:line="276" w:lineRule="auto"/>
        <w:ind w:left="432" w:hanging="432"/>
      </w:pPr>
      <w:r>
        <w:t>[78]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ind w:left="432" w:hanging="432"/>
      </w:pPr>
      <w:r>
        <w:t>[79] Fang, J., Wang, X., Wen, Z., &amp; Zhou, J. (2022). Fear of missing out and problematic social media use as mediators between emotional support from social media and phubbing behavior. Addictive Behaviors, 107, 106430. https://doi.org/10.1016/j.addbeh.2020.106430</w:t>
      </w:r>
    </w:p>
    <w:p>
      <w:pPr>
        <w:spacing w:after="80" w:line="276" w:lineRule="auto"/>
        <w:ind w:left="432" w:hanging="432"/>
      </w:pPr>
      <w:r>
        <w:t>[80]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ind w:left="432" w:hanging="432"/>
      </w:pPr>
      <w:r>
        <w:t>[81] Purvanova, R. K., &amp; Muros, J. P. (2010). Gender differences in burnout: A meta-analysis. Journal of Vocational Behavior, 77(2), 168-185. https://doi.org/10.1016/j.jvb.2010.04.006</w:t>
      </w:r>
    </w:p>
    <w:p>
      <w:pPr>
        <w:spacing w:after="80" w:line="276" w:lineRule="auto"/>
        <w:ind w:left="432" w:hanging="432"/>
      </w:pPr>
      <w:r>
        <w:t>[82] Kim, B., Jee, S., Lee, J., An, S., &amp; Lee, S. M. (2018). Relationships between social support and student burnout: A meta-analytic approach. Stress and Health, 34(1), 127-134. https://doi.org/10.1002/smi.2771</w:t>
      </w:r>
    </w:p>
    <w:p>
      <w:pPr>
        <w:spacing w:after="80" w:line="276" w:lineRule="auto"/>
        <w:ind w:left="432" w:hanging="432"/>
      </w:pPr>
      <w:r>
        <w:t>[83] Baker, R. S. J. D., &amp; Inventado, P. S. (2014). Educational data mining and learning analytics. In Learning analytics (pp. 61-75). Springer. https://doi.org/10.1007/978-1-4614-3305-7_4</w:t>
      </w:r>
    </w:p>
    <w:p>
      <w:pPr>
        <w:spacing w:after="80" w:line="276" w:lineRule="auto"/>
        <w:ind w:left="432" w:hanging="432"/>
      </w:pPr>
      <w:r>
        <w:t>[84] Romero, C., &amp; Ventura, S. (2020). Educational data mining and learning analytics: An updated survey. Wiley Interdisciplinary Reviews: Data Mining and Knowledge Discovery, 10(3), e1355. https://doi.org/10.1002/widm.1355</w:t>
      </w:r>
    </w:p>
    <w:p>
      <w:pPr>
        <w:spacing w:after="80" w:line="276" w:lineRule="auto"/>
        <w:ind w:left="432" w:hanging="432"/>
      </w:pPr>
      <w:r>
        <w:t>[85] Shahiri, A. M., Husain, W., &amp; Rashid, N. A. (2015). A review on predicting student performance using data mining techniques. Procedia Computer Science, 72, 414-422. https://doi.org/10.1016/j.procs.2015.12.157</w:t>
      </w:r>
    </w:p>
    <w:p>
      <w:pPr>
        <w:spacing w:after="80" w:line="276" w:lineRule="auto"/>
        <w:ind w:left="432" w:hanging="432"/>
      </w:pPr>
      <w:r>
        <w:t>[86] Alhazmi, E., &amp; Sheneamer, A. (2023). Early predicting of students performance in higher education. IEEE Access, 11, 27579-27589. https://doi.org/10.1109/ACCESS.2023.3250702</w:t>
      </w:r>
    </w:p>
    <w:p>
      <w:pPr>
        <w:spacing w:after="80" w:line="276" w:lineRule="auto"/>
        <w:ind w:left="432" w:hanging="432"/>
      </w:pPr>
      <w:r>
        <w:t>[87] Priya, A., Garg, S., &amp; Tigga, N. P. (2020). Predicting anxiety, depression and stress in modern life using machine learning algorithms. Procedia Computer Science, 167, 1258-1267. https://doi.org/10.1016/j.procs.2020.03.442</w:t>
      </w:r>
    </w:p>
    <w:p>
      <w:pPr>
        <w:spacing w:after="80" w:line="276" w:lineRule="auto"/>
        <w:ind w:left="432" w:hanging="432"/>
      </w:pPr>
      <w:r>
        <w:t>[88] Zheng, X., Chen, Y., &amp; Liu, Y. (2021). Machine learning algorithms for predicting depression among university students. Computers in Human Behavior, 120, 106752. https://doi.org/10.1016/j.chb.2021.106752</w:t>
      </w:r>
    </w:p>
    <w:p>
      <w:pPr>
        <w:spacing w:after="80" w:line="276" w:lineRule="auto"/>
        <w:ind w:left="432" w:hanging="432"/>
      </w:pPr>
      <w:r>
        <w:t>[89] van der Ploeg, T., Austin, P. C., &amp; Steyerberg, E. W. (2014). Modern modelling techniques are data hungry: A simulation study for predicting dichotomous endpoints. BMC Medical Research Methodology, 14(1), 1-11. https://doi.org/10.1186/1471-2288-14-137</w:t>
      </w:r>
    </w:p>
    <w:p>
      <w:pPr>
        <w:spacing w:after="80" w:line="276" w:lineRule="auto"/>
        <w:ind w:left="432" w:hanging="432"/>
      </w:pPr>
      <w:r>
        <w:t>[90] Davis, J., &amp; Goadrich, M. (2006). The relationship between Precision-Recall and ROC curves. In Proceedings of the 23rd International Conference on Machine Learning (pp. 233-240). ACM. https://doi.org/10.1145/1143844.1143874</w:t>
      </w:r>
    </w:p>
    <w:p>
      <w:pPr>
        <w:spacing w:after="80" w:line="276" w:lineRule="auto"/>
        <w:ind w:left="432" w:hanging="432"/>
      </w:pPr>
      <w:r>
        <w:t>[91]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ind w:left="432" w:hanging="432"/>
      </w:pPr>
      <w:r>
        <w:t>[92] Tsiakmaki, M., Kostopoulos, G., Kotsiantis, S., &amp; Ragos, O. (2020). Implementing AutoML in educational data mining for prediction tasks. Applied Sciences, 10(1), 90. https://doi.org/10.3390/app10010090</w:t>
      </w:r>
    </w:p>
    <w:p>
      <w:pPr>
        <w:spacing w:after="80" w:line="276" w:lineRule="auto"/>
        <w:ind w:left="432" w:hanging="432"/>
      </w:pPr>
      <w:r>
        <w:t>[93] Breiman, L. (2001). Random forests. Machine Learning, 45(1), 5-32. https://doi.org/10.1023/A:1010933404324</w:t>
      </w:r>
    </w:p>
    <w:p>
      <w:pPr>
        <w:spacing w:after="80" w:line="276" w:lineRule="auto"/>
        <w:ind w:left="432" w:hanging="432"/>
      </w:pPr>
      <w:r>
        <w:t>[94] Strobl, C., Boulesteix, A. L., Zeileis, A., &amp; Hothorn, T. (2007). Bias in random forest variable importance measures: Illustrations, sources and a solution. BMC Bioinformatics, 8(1), 1-21. https://doi.org/10.1186/1471-2105-8-25</w:t>
      </w:r>
    </w:p>
    <w:p>
      <w:pPr>
        <w:spacing w:after="80" w:line="276" w:lineRule="auto"/>
        <w:ind w:left="432" w:hanging="432"/>
      </w:pPr>
      <w:r>
        <w:t>[95] Nicodemus, K. K., Malley, J. D., Strobl, C., &amp; Ziegler, A. (2010). The behaviour of random forest permutation-based variable importance measures under predictor correlation. BMC Bioinformatics, 11(1), 1-13. https://doi.org/10.1186/1471-2105-11-110</w:t>
      </w:r>
    </w:p>
    <w:p>
      <w:pPr>
        <w:spacing w:after="80" w:line="276" w:lineRule="auto"/>
        <w:ind w:left="432" w:hanging="432"/>
      </w:pPr>
      <w:r>
        <w:t>[96] Friedman, J. H. (2001). Greedy function approximation: A gradient boosting machine. Annals of Statistics, 29(5), 1189-1232. https://doi.org/10.1214/aos/1013203451</w:t>
      </w:r>
    </w:p>
    <w:p>
      <w:pPr>
        <w:spacing w:after="80" w:line="276" w:lineRule="auto"/>
        <w:ind w:left="432" w:hanging="432"/>
      </w:pPr>
      <w:r>
        <w:t>[97] Hooker, G., Mentch, L., &amp; Zhou, S. (2021). Unrestricted permutation forces extrapolation: Variable importance requires at least one more model, or there is no free variable importance. Statistics and Computing, 31(5), 1-11. https://doi.org/10.1007/s11222-021-10057-z</w:t>
      </w:r>
    </w:p>
    <w:p>
      <w:pPr>
        <w:spacing w:after="80" w:line="276" w:lineRule="auto"/>
        <w:ind w:left="432" w:hanging="432"/>
      </w:pPr>
      <w:r>
        <w:t>[98] Greenwell, B. M. (2017). pdp: An R package for constructing partial dependence plots. The R Journal, 9(1), 421-436. https://doi.org/10.32614/RJ-2017-016</w:t>
      </w:r>
    </w:p>
    <w:p>
      <w:pPr>
        <w:spacing w:after="80" w:line="276" w:lineRule="auto"/>
        <w:ind w:left="432" w:hanging="432"/>
      </w:pPr>
      <w:r>
        <w:t>[99]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ind w:left="432" w:hanging="432"/>
      </w:pPr>
      <w:r>
        <w:t>[100] Sarkar, S., Ray, A., &amp; Sharma, M. (2022). Explainable AI in healthcare and medicine: A systematic review. Journal of Medical Systems, 46(12), 85. https://doi.org/10.1007/s10916-022-01869-7</w:t>
      </w:r>
    </w:p>
    <w:p>
      <w:pPr>
        <w:spacing w:after="80" w:line="276" w:lineRule="auto"/>
        <w:ind w:left="432" w:hanging="432"/>
      </w:pPr>
      <w:r>
        <w:t>[101] Rastrollo-Guerrero, J. L., Gómez-Pulido, J. A., &amp; Durán-Domínguez, A. (2020). Analyzing and predicting students' performance using machine learning: A systematic review. Applied Sciences, 10(6), 2023. https://doi.org/10.3390/app10062023</w:t>
      </w:r>
    </w:p>
    <w:p>
      <w:pPr>
        <w:spacing w:after="80" w:line="276" w:lineRule="auto"/>
        <w:ind w:left="432" w:hanging="432"/>
      </w:pPr>
      <w:r>
        <w:t>[102] Braun, V., &amp; Clarke, V. (2021). One size fits all? What counts as quality practice in (reflexive) thematic analysis? Qualitative Research in Psychology, 18(3), 328-352. https://doi.org/10.1080/14780887.2020.1769238</w:t>
      </w:r>
    </w:p>
    <w:p>
      <w:pPr>
        <w:spacing w:after="80" w:line="276" w:lineRule="auto"/>
        <w:ind w:left="432" w:hanging="432"/>
      </w:pPr>
      <w:r>
        <w:t>[103] Braun, V., &amp; Clarke, V. (2006). Using thematic analysis in psychology. Qualitative Research in Psychology, 3(2), 77-101. https://doi.org/10.1191/1478088706qp063oa</w:t>
      </w:r>
    </w:p>
    <w:p>
      <w:pPr>
        <w:spacing w:after="80" w:line="276" w:lineRule="auto"/>
        <w:ind w:left="432" w:hanging="432"/>
      </w:pPr>
      <w:r>
        <w:t>[104] Guest, G., Bunce, A., &amp; Johnson, L. (2006). How many interviews are enough? An experiment with data saturation and variability. Field Methods, 18(1), 59-82. https://doi.org/10.1177/1525822X05279903</w:t>
      </w:r>
    </w:p>
    <w:p>
      <w:pPr>
        <w:spacing w:after="80" w:line="276" w:lineRule="auto"/>
        <w:ind w:left="432" w:hanging="432"/>
      </w:pPr>
      <w:r>
        <w:t>[105] Kristensen, T. S., Borritz, M., Villadsen, E., &amp; Christensen, K. B. (2005). The Copenhagen Burnout Inventory: A new tool for the assessment of burnout. Work &amp; Stress, 19(3), 192-207. https://doi.org/10.1080/02678370500297720</w:t>
      </w:r>
    </w:p>
    <w:p>
      <w:pPr>
        <w:spacing w:after="80" w:line="276" w:lineRule="auto"/>
        <w:ind w:left="432" w:hanging="432"/>
      </w:pPr>
      <w:r>
        <w:t>[106] Rohland, B. M., Kruse, G. R., &amp; Rohrer, J. E. (2004). Validation of a single-item measure of burnout against the Maslach Burnout Inventory among physicians. Stress and Health, 20(2), 75-79. https://doi.org/10.1002/smi.1003</w:t>
      </w:r>
    </w:p>
    <w:p>
      <w:pPr>
        <w:spacing w:after="80" w:line="276" w:lineRule="auto"/>
        <w:ind w:left="432" w:hanging="432"/>
      </w:pPr>
      <w:r>
        <w:t>[107] West, C. P., Dyrbye, L. N., Sloan, J. A., &amp; Shanafelt, T. D. (2009). Single item measures of emotional exhaustion and depersonalization are useful for assessing burnout in medical professionals. Journal of General Internal Medicine, 24(12), 1318-1321. https://doi.org/10.1007/s11606-009-1129-z</w:t>
      </w:r>
    </w:p>
    <w:p>
      <w:pPr>
        <w:spacing w:after="80" w:line="276" w:lineRule="auto"/>
        <w:ind w:left="432" w:hanging="432"/>
      </w:pPr>
      <w:r>
        <w:t>[108] Elo, A. L., Leppanen, A., &amp; Jahkola, A. (2003). Validity of a single-item measure of stress symptoms. Scandinavian Journal of Work, Environment &amp; Health, 29(6), 444-451. https://doi.org/10.5271/sjweh.752</w:t>
      </w:r>
    </w:p>
    <w:p>
      <w:pPr>
        <w:spacing w:after="80" w:line="276" w:lineRule="auto"/>
        <w:ind w:left="432" w:hanging="432"/>
      </w:pPr>
      <w:r>
        <w:t>[109]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ind w:left="432" w:hanging="432"/>
      </w:pPr>
      <w:r>
        <w:t>[110] Bzdok, D., Altman, N., &amp; Krzywinski, M. (2018). Statistics versus machine learning. Nature Methods, 15(4), 233-234. https://doi.org/10.1038/nmeth.4642</w:t>
      </w:r>
    </w:p>
    <w:p>
      <w:pPr>
        <w:spacing w:after="80" w:line="276" w:lineRule="auto"/>
        <w:ind w:left="432" w:hanging="432"/>
      </w:pPr>
      <w:r>
        <w:t>[111] Landis, J. R., &amp; Koch, G. G. (1977). The measurement of observer agreement for categorical data. Biometrics, 33(1), 159-174. https://doi.org/10.2307/2529310</w:t>
      </w:r>
    </w:p>
    <w:p>
      <w:pPr>
        <w:spacing w:after="80" w:line="276" w:lineRule="auto"/>
        <w:ind w:left="432" w:hanging="432"/>
      </w:pPr>
      <w:r>
        <w:t>[112] Farmer, T., Robinson, K., Elliott, S. J., &amp; Eyles, J. (2006). Developing and implementing a triangulation protocol for qualitative health research. Qualitative Health Research, 16(3), 377-394. https://doi.org/10.1177/1049732305285708</w:t>
      </w:r>
    </w:p>
    <w:p>
      <w:pPr>
        <w:spacing w:after="80" w:line="276" w:lineRule="auto"/>
        <w:ind w:left="432" w:hanging="432"/>
      </w:pPr>
      <w:r>
        <w:t>[113] Tukey, J. W. (1977). Exploratory data analysis. Addison-Wesley.</w:t>
      </w:r>
    </w:p>
    <w:p>
      <w:pPr>
        <w:spacing w:after="80" w:line="276" w:lineRule="auto"/>
        <w:ind w:left="432" w:hanging="432"/>
      </w:pPr>
      <w:r>
        <w:t>[114]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ind w:left="432" w:hanging="432"/>
      </w:pPr>
      <w:r>
        <w:t>[115] He, H., &amp; Garcia, E. A. (2009). Learning from imbalanced data. IEEE Transactions on Knowledge and Data Engineering, 21(9), 1263-1284. https://doi.org/10.1109/TKDE.2008.239</w:t>
      </w:r>
    </w:p>
    <w:p>
      <w:pPr>
        <w:spacing w:after="80" w:line="276" w:lineRule="auto"/>
        <w:ind w:left="432" w:hanging="432"/>
      </w:pPr>
      <w:r>
        <w:t>[116] Ghasemi, A., &amp; Zahediasl, S. (2012). Normality tests for statistical analysis: A guide for non-statisticians. International Journal of Endocrinology and Metabolism, 10(2), 186-191. https://doi.org/10.5812/ijem.3505</w:t>
      </w:r>
    </w:p>
    <w:p>
      <w:pPr>
        <w:spacing w:after="80" w:line="276" w:lineRule="auto"/>
        <w:ind w:left="432" w:hanging="432"/>
      </w:pPr>
      <w:r>
        <w:t>[117] Faul, F., Erdfelder, E., Lang, A. G., &amp; Buchner, A. (2007). G*Power 3: A flexible statistical power analysis program for the social, behavioral, and biomedical sciences. Behavior Research Methods, 39(2), 175-191. https://doi.org/10.3758/BF03193146</w:t>
      </w:r>
    </w:p>
    <w:p>
      <w:pPr>
        <w:spacing w:after="80" w:line="276" w:lineRule="auto"/>
        <w:ind w:left="432" w:hanging="432"/>
      </w:pPr>
      <w:r>
        <w:t>[118] Cohen, J. (1988). Statistical power analysis for the behavioral sciences (2nd ed.). Lawrence Erlbaum Associates.</w:t>
      </w:r>
    </w:p>
    <w:p>
      <w:pPr>
        <w:spacing w:after="80" w:line="276" w:lineRule="auto"/>
        <w:ind w:left="432" w:hanging="432"/>
      </w:pPr>
      <w:r>
        <w:t>[119] O'Brien, R. M. (2007). A caution regarding rules of thumb for variance inflation factors. Quality &amp; Quantity, 41(5), 673-690. https://doi.org/10.1007/s11135-006-9018-6</w:t>
      </w:r>
    </w:p>
    <w:p>
      <w:pPr>
        <w:spacing w:after="80" w:line="276" w:lineRule="auto"/>
        <w:ind w:left="432" w:hanging="432"/>
      </w:pPr>
      <w:r>
        <w:t>[120]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ind w:left="432" w:hanging="432"/>
      </w:pPr>
      <w:r>
        <w:t>[121] Fawcett, T. (2006). An introduction to ROC analysis. Pattern Recognition Letters, 27(8), 861-874. https://doi.org/10.1016/j.patrec.2005.10.010</w:t>
      </w:r>
    </w:p>
    <w:p>
      <w:pPr>
        <w:spacing w:after="80" w:line="276" w:lineRule="auto"/>
        <w:ind w:left="432" w:hanging="432"/>
      </w:pPr>
      <w:r>
        <w:t>[122] Rudin, C. (2019). Stop explaining black box machine learning models for high stakes decisions and use interpretable models instead. Nature Machine Intelligence, 1(5), 206-215. https://doi.org/10.1038/s42256-019-0048-x</w:t>
      </w:r>
    </w:p>
    <w:p>
      <w:pPr>
        <w:spacing w:after="80" w:line="276" w:lineRule="auto"/>
        <w:ind w:left="432" w:hanging="432"/>
      </w:pPr>
      <w:r>
        <w:t>[123] Mamun, M. A., &amp; Griffiths, M. D. (2019). The psychological impact of extreme weather events and natural disasters on Bangladeshi students. Psychiatry Research, 281, 112574. https://doi.org/10.1016/j.psychres.2019.112574</w:t>
      </w:r>
    </w:p>
    <w:p>
      <w:pPr>
        <w:spacing w:after="80" w:line="276" w:lineRule="auto"/>
        <w:ind w:left="432" w:hanging="432"/>
      </w:pPr>
      <w:r>
        <w:t>[124] Collins, G. S., Reitsma, J. B., Altman, D. G., &amp; Moons, K. G. (2015). Transparent reporting of a multivariable prediction model for individual prognosis or diagnosis (TRIPOD): The TRIPOD statement. BMJ, 350, g7594. https://doi.org/10.1136/bmj.g7594</w:t>
      </w:r>
    </w:p>
    <w:p>
      <w:pPr>
        <w:spacing w:after="80" w:line="276" w:lineRule="auto"/>
        <w:ind w:left="432" w:hanging="432"/>
      </w:pPr>
      <w:r>
        <w:t>[125] Moons, K. G., Altman, D. G., Reitsma, J. B., Ioannidis, J. P., Macaskill, P., Steyerberg, E. W., ... &amp; Collins, G. S. (2015). Transparent Reporting of a multivariable prediction model for Individual Prognosis or Diagnosis (TRIPOD): Explanation and elaboration. Annals of Internal Medicine, 162(1), W1-W73. https://doi.org/10.7326/M14-0698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