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Supplementary Material S2</w:t>
      </w:r>
    </w:p>
    <w:p>
      <w:pPr>
        <w:pStyle w:val="Heading2"/>
      </w:pPr>
      <w:r>
        <w:t>COREQ (Consolidated Criteria for Reporting Qualitative Research) Checklist</w:t>
      </w:r>
    </w:p>
    <w:p>
      <w:pPr>
        <w:pStyle w:val="Heading3"/>
      </w:pPr>
      <w:r>
        <w:t>32-Item Checklist — Tong et al. (2007)</w:t>
      </w:r>
    </w:p>
    <w:p/>
    <w:p>
      <w:r>
        <w:t>Paper Title: Explainable Machine Learning for Student Burnout Classification and Risk Stratification: A Mixed-Methods Study with Qualitative Triangulation</w:t>
      </w:r>
    </w:p>
    <w:p/>
    <w:p>
      <w:r>
        <w:t>Authors: Rifat Miah (242370038@student.presidency.edu.bd), Dr. A.S.M. Shihavuddin (shihav@eee.green.edu.bd)</w:t>
      </w:r>
    </w:p>
    <w:p/>
    <w:p>
      <w:r>
        <w:t>Corresponding Author: Rifat Miah (Email: 242370038@student.presidency.edu.bd), Department of Computer Science and Engineering, Presidency University, Dhaka 1212, Bangladesh (Institutional Contact: info@pu.edu.bd)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Domain 1: Research Team and Reflexivity</w:t>
      </w:r>
    </w:p>
    <w:p/>
    <w:p>
      <w:pPr>
        <w:pStyle w:val="Heading3"/>
      </w:pPr>
      <w:r>
        <w:t>Personal Characteristics</w:t>
      </w:r>
    </w:p>
    <w:p/>
    <w:p/>
    <w:p>
      <w:pPr>
        <w:pStyle w:val="Heading3"/>
      </w:pPr>
      <w:r>
        <w:t>Relationship with Participants</w:t>
      </w:r>
    </w:p>
    <w:p/>
    <w:p/>
    <w:p>
      <w:r>
        <w:t>____________________________________________________________</w:t>
      </w:r>
    </w:p>
    <w:p/>
    <w:p>
      <w:pPr>
        <w:pStyle w:val="Heading2"/>
      </w:pPr>
      <w:r>
        <w:t>Domain 2: Study Design</w:t>
      </w:r>
    </w:p>
    <w:p/>
    <w:p>
      <w:pPr>
        <w:pStyle w:val="Heading3"/>
      </w:pPr>
      <w:r>
        <w:t>Theoretical Framework</w:t>
      </w:r>
    </w:p>
    <w:p/>
    <w:p/>
    <w:p>
      <w:pPr>
        <w:pStyle w:val="Heading3"/>
      </w:pPr>
      <w:r>
        <w:t>Participant Selection</w:t>
      </w:r>
    </w:p>
    <w:p/>
    <w:p/>
    <w:p>
      <w:pPr>
        <w:pStyle w:val="Heading3"/>
      </w:pPr>
      <w:r>
        <w:t>Setting</w:t>
      </w:r>
    </w:p>
    <w:p/>
    <w:p/>
    <w:p>
      <w:pPr>
        <w:pStyle w:val="Heading3"/>
      </w:pPr>
      <w:r>
        <w:t>Data Collection</w:t>
      </w:r>
    </w:p>
    <w:p/>
    <w:p/>
    <w:p>
      <w:r>
        <w:t>____________________________________________________________</w:t>
      </w:r>
    </w:p>
    <w:p/>
    <w:p>
      <w:pPr>
        <w:pStyle w:val="Heading2"/>
      </w:pPr>
      <w:r>
        <w:t>Domain 3: Analysis and Findings</w:t>
      </w:r>
    </w:p>
    <w:p/>
    <w:p>
      <w:pPr>
        <w:pStyle w:val="Heading3"/>
      </w:pPr>
      <w:r>
        <w:t>Data Analysis</w:t>
      </w:r>
    </w:p>
    <w:p/>
    <w:p/>
    <w:p>
      <w:pPr>
        <w:pStyle w:val="Heading3"/>
      </w:pPr>
      <w:r>
        <w:t>Reporting</w:t>
      </w:r>
    </w:p>
    <w:p/>
    <w:p/>
    <w:p>
      <w:r>
        <w:t>____________________________________________________________</w:t>
      </w:r>
    </w:p>
    <w:p/>
    <w:p>
      <w:pPr>
        <w:pStyle w:val="Heading2"/>
      </w:pPr>
      <w:r>
        <w:t>COREQ Compliance Summary</w:t>
      </w:r>
    </w:p>
    <w:p/>
    <w:p/>
    <w:p>
      <w:r>
        <w:t>____________________________________________________________</w:t>
      </w:r>
    </w:p>
    <w:p/>
    <w:p>
      <w:r>
        <w:t>*Adapted from: Tong, A., Sainsbury, P., &amp; Craig, J. (2007). Consolidated criteria for reporting qualitative research (COREQ): A 32-item checklist for interviews and focus groups. International Journal for Quality in Health Care, 19(6), 349–357. https://doi.org/10.1093/intqhc/mzm042*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