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00"/>
      </w:pPr>
      <w:r>
        <w:rPr>
          <w:b/>
          <w:bCs/>
          <w:color w:val="4a5568"/>
          <w:sz w:val="36"/>
          <w:szCs w:val="36"/>
        </w:rPr>
        <w:t xml:space="preserve">Card Program Configuration Portal</w:t>
      </w:r>
    </w:p>
    <w:p>
      <w:pPr>
        <w:spacing w:after="400"/>
      </w:pPr>
      <w:r>
        <w:rPr>
          <w:color w:val="718096"/>
          <w:sz w:val="28"/>
          <w:szCs w:val="28"/>
        </w:rPr>
        <w:t xml:space="preserve">MyEnfuce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F2F7" w:val="clear"/>
          </w:tcPr>
          <w:p>
            <w:r>
              <w:rPr>
                <w:b/>
                <w:bCs/>
              </w:rPr>
              <w:t xml:space="preserve">Version</w:t>
            </w:r>
          </w:p>
        </w:tc>
        <w:tc>
          <w:tcPr>
            <w:tcW w:type="dxa" w:w="6860"/>
            <w:tcBorders>
              <w:top w:val="single" w:color="CCCCCC" w:sz="1"/>
              <w:left w:val="single" w:color="CCCCCC" w:sz="1"/>
              <w:bottom w:val="single" w:color="CCCCCC" w:sz="1"/>
              <w:right w:val="single" w:color="CCCCCC" w:sz="1"/>
            </w:tcBorders>
          </w:tcPr>
          <w:p>
            <w:r>
              <w:t xml:space="preserve">1.0 - Draft</w:t>
            </w:r>
          </w:p>
        </w:tc>
      </w:tr>
      <w:tr>
        <w:tc>
          <w:tcPr>
            <w:tcW w:type="dxa" w:w="2500"/>
            <w:tcBorders>
              <w:top w:val="single" w:color="CCCCCC" w:sz="1"/>
              <w:left w:val="single" w:color="CCCCCC" w:sz="1"/>
              <w:bottom w:val="single" w:color="CCCCCC" w:sz="1"/>
              <w:right w:val="single" w:color="CCCCCC" w:sz="1"/>
            </w:tcBorders>
            <w:shd w:fill="EDF2F7" w:val="clear"/>
          </w:tcPr>
          <w:p>
            <w:r>
              <w:rPr>
                <w:b/>
                <w:bCs/>
              </w:rPr>
              <w:t xml:space="preserve">Date</w:t>
            </w:r>
          </w:p>
        </w:tc>
        <w:tc>
          <w:tcPr>
            <w:tcW w:type="dxa" w:w="6860"/>
            <w:tcBorders>
              <w:top w:val="single" w:color="CCCCCC" w:sz="1"/>
              <w:left w:val="single" w:color="CCCCCC" w:sz="1"/>
              <w:bottom w:val="single" w:color="CCCCCC" w:sz="1"/>
              <w:right w:val="single" w:color="CCCCCC" w:sz="1"/>
            </w:tcBorders>
          </w:tcPr>
          <w:p>
            <w:r>
              <w:t xml:space="preserve">November 2025</w:t>
            </w:r>
          </w:p>
        </w:tc>
      </w:tr>
      <w:tr>
        <w:tc>
          <w:tcPr>
            <w:tcW w:type="dxa" w:w="2500"/>
            <w:tcBorders>
              <w:top w:val="single" w:color="CCCCCC" w:sz="1"/>
              <w:left w:val="single" w:color="CCCCCC" w:sz="1"/>
              <w:bottom w:val="single" w:color="CCCCCC" w:sz="1"/>
              <w:right w:val="single" w:color="CCCCCC" w:sz="1"/>
            </w:tcBorders>
            <w:shd w:fill="EDF2F7" w:val="clear"/>
          </w:tcPr>
          <w:p>
            <w:r>
              <w:rPr>
                <w:b/>
                <w:bCs/>
              </w:rPr>
              <w:t xml:space="preserve">Author</w:t>
            </w:r>
          </w:p>
        </w:tc>
        <w:tc>
          <w:tcPr>
            <w:tcW w:type="dxa" w:w="6860"/>
            <w:tcBorders>
              <w:top w:val="single" w:color="CCCCCC" w:sz="1"/>
              <w:left w:val="single" w:color="CCCCCC" w:sz="1"/>
              <w:bottom w:val="single" w:color="CCCCCC" w:sz="1"/>
              <w:right w:val="single" w:color="CCCCCC" w:sz="1"/>
            </w:tcBorders>
          </w:tcPr>
          <w:p>
            <w:r>
              <w:t xml:space="preserve">Senior Product Manager, Credit &amp; Ledger</w:t>
            </w:r>
          </w:p>
        </w:tc>
      </w:tr>
      <w:tr>
        <w:tc>
          <w:tcPr>
            <w:tcW w:type="dxa" w:w="2500"/>
            <w:tcBorders>
              <w:top w:val="single" w:color="CCCCCC" w:sz="1"/>
              <w:left w:val="single" w:color="CCCCCC" w:sz="1"/>
              <w:bottom w:val="single" w:color="CCCCCC" w:sz="1"/>
              <w:right w:val="single" w:color="CCCCCC" w:sz="1"/>
            </w:tcBorders>
            <w:shd w:fill="EDF2F7" w:val="clear"/>
          </w:tcPr>
          <w:p>
            <w:r>
              <w:rPr>
                <w:b/>
                <w:bCs/>
              </w:rPr>
              <w:t xml:space="preserve">Status</w:t>
            </w:r>
          </w:p>
        </w:tc>
        <w:tc>
          <w:tcPr>
            <w:tcW w:type="dxa" w:w="6860"/>
            <w:tcBorders>
              <w:top w:val="single" w:color="CCCCCC" w:sz="1"/>
              <w:left w:val="single" w:color="CCCCCC" w:sz="1"/>
              <w:bottom w:val="single" w:color="CCCCCC" w:sz="1"/>
              <w:right w:val="single" w:color="CCCCCC" w:sz="1"/>
            </w:tcBorders>
          </w:tcPr>
          <w:p>
            <w:r>
              <w:t xml:space="preserve">Draft for Review</w:t>
            </w:r>
          </w:p>
        </w:tc>
      </w:tr>
    </w:tbl>
    <w:p>
      <w:r>
        <w:br w:type="page"/>
      </w:r>
    </w:p>
    <w:p>
      <w:pPr>
        <w:pStyle w:val="Heading1"/>
      </w:pPr>
      <w:r>
        <w:t xml:space="preserve">1. Executive Summary</w:t>
      </w:r>
    </w:p>
    <w:p>
      <w:pPr>
        <w:spacing w:after="200"/>
      </w:pPr>
      <w:r>
        <w:t xml:space="preserve">This PRD defines the requirements for the </w:t>
      </w:r>
      <w:r>
        <w:rPr>
          <w:b/>
          <w:bCs/>
        </w:rPr>
        <w:t xml:space="preserve">Card Program Configuration Portal</w:t>
      </w:r>
      <w:r>
        <w:t xml:space="preserve"> (CPCP), a self-service platform enabling Enfuce customers to design, configure, and manage their card programs through an intuitive web interface backed by a comprehensive API.</w:t>
      </w:r>
    </w:p>
    <w:p>
      <w:pPr>
        <w:spacing w:after="200"/>
      </w:pPr>
      <w:r>
        <w:t xml:space="preserve">The portal addresses a critical market need: enterprise customers like financial institutions, fintechs, and large organizations (e.g., UN, multinational corporations) require the ability to rapidly deploy and iterate on multiple card programs—prepaid for delegates, debit for employees, credit for executives, fleet cards for operations—without deep technical integration or lengthy implementation cycles.</w:t>
      </w:r>
    </w:p>
    <w:p>
      <w:pPr>
        <w:pStyle w:val="Heading1"/>
      </w:pPr>
      <w:r>
        <w:t xml:space="preserve">2. Problem Statement</w:t>
      </w:r>
    </w:p>
    <w:p>
      <w:pPr>
        <w:pStyle w:val="Heading2"/>
      </w:pPr>
      <w:r>
        <w:t xml:space="preserve">2.1 Current State Pain Points</w:t>
      </w:r>
    </w:p>
    <w:p>
      <w:pPr>
        <w:pStyle w:val="ListParagraph"/>
        <w:numPr>
          <w:ilvl w:val="0"/>
          <w:numId w:val="2"/>
        </w:numPr>
      </w:pPr>
      <w:r>
        <w:rPr>
          <w:b/>
          <w:bCs/>
        </w:rPr>
        <w:t xml:space="preserve">Manual Configuration: </w:t>
      </w:r>
      <w:r>
        <w:t xml:space="preserve">Card program setup requires extensive back-and-forth with Enfuce technical teams, taking weeks to months</w:t>
      </w:r>
    </w:p>
    <w:p>
      <w:pPr>
        <w:pStyle w:val="ListParagraph"/>
        <w:numPr>
          <w:ilvl w:val="0"/>
          <w:numId w:val="2"/>
        </w:numPr>
      </w:pPr>
      <w:r>
        <w:rPr>
          <w:b/>
          <w:bCs/>
        </w:rPr>
        <w:t xml:space="preserve">Limited Visibility: </w:t>
      </w:r>
      <w:r>
        <w:t xml:space="preserve">Customers lack real-time insight into their program configurations and cannot self-serve changes</w:t>
      </w:r>
    </w:p>
    <w:p>
      <w:pPr>
        <w:pStyle w:val="ListParagraph"/>
        <w:numPr>
          <w:ilvl w:val="0"/>
          <w:numId w:val="2"/>
        </w:numPr>
      </w:pPr>
      <w:r>
        <w:rPr>
          <w:b/>
          <w:bCs/>
        </w:rPr>
        <w:t xml:space="preserve">Scalability Bottleneck: </w:t>
      </w:r>
      <w:r>
        <w:t xml:space="preserve">Each new program requires dedicated Enfuce resources, limiting growth capacity</w:t>
      </w:r>
    </w:p>
    <w:p>
      <w:pPr>
        <w:pStyle w:val="ListParagraph"/>
        <w:numPr>
          <w:ilvl w:val="0"/>
          <w:numId w:val="2"/>
        </w:numPr>
      </w:pPr>
      <w:r>
        <w:rPr>
          <w:b/>
          <w:bCs/>
        </w:rPr>
        <w:t xml:space="preserve">Complex Onboarding: </w:t>
      </w:r>
      <w:r>
        <w:t xml:space="preserve">New customers face a steep learning curve understanding card program options</w:t>
      </w:r>
    </w:p>
    <w:p>
      <w:pPr>
        <w:pStyle w:val="Heading2"/>
      </w:pPr>
      <w:r>
        <w:t xml:space="preserve">2.2 Market Opportunity</w:t>
      </w:r>
    </w:p>
    <w:p>
      <w:pPr>
        <w:spacing w:after="200"/>
      </w:pPr>
      <w:r>
        <w:t xml:space="preserve">The embedded finance market is projected to reach $7.2 trillion by 2030. Self-service card program configuration is a key differentiator that can reduce time-to-market from months to days, enabling Enfuce to capture a larger share of this growing market while improving operational efficiency.</w:t>
      </w:r>
    </w:p>
    <w:p>
      <w:pPr>
        <w:pStyle w:val="Heading1"/>
      </w:pPr>
      <w:r>
        <w:t xml:space="preserve">3. Objectives &amp; Success Metrics</w:t>
      </w:r>
    </w:p>
    <w:p>
      <w:pPr>
        <w:pStyle w:val="Heading2"/>
      </w:pPr>
      <w:r>
        <w:t xml:space="preserve">3.1 Business Objectives</w:t>
      </w:r>
    </w:p>
    <w:p>
      <w:pPr>
        <w:pStyle w:val="ListParagraph"/>
        <w:numPr>
          <w:ilvl w:val="0"/>
          <w:numId w:val="3"/>
        </w:numPr>
      </w:pPr>
      <w:r>
        <w:t xml:space="preserve">Reduce average card program setup time from 8 weeks to 5 business days</w:t>
      </w:r>
    </w:p>
    <w:p>
      <w:pPr>
        <w:pStyle w:val="ListParagraph"/>
        <w:numPr>
          <w:ilvl w:val="0"/>
          <w:numId w:val="3"/>
        </w:numPr>
      </w:pPr>
      <w:r>
        <w:t xml:space="preserve">Enable 80% of standard configurations to be completed without Enfuce staff intervention</w:t>
      </w:r>
    </w:p>
    <w:p>
      <w:pPr>
        <w:pStyle w:val="ListParagraph"/>
        <w:numPr>
          <w:ilvl w:val="0"/>
          <w:numId w:val="3"/>
        </w:numPr>
      </w:pPr>
      <w:r>
        <w:t xml:space="preserve">Support 50+ concurrent card programs per enterprise customer</w:t>
      </w:r>
    </w:p>
    <w:p>
      <w:pPr>
        <w:pStyle w:val="ListParagraph"/>
        <w:numPr>
          <w:ilvl w:val="0"/>
          <w:numId w:val="3"/>
        </w:numPr>
      </w:pPr>
      <w:r>
        <w:t xml:space="preserve">Achieve 90% customer satisfaction score for portal usability</w:t>
      </w:r>
    </w:p>
    <w:p>
      <w:pPr>
        <w:pStyle w:val="Heading2"/>
      </w:pPr>
      <w:r>
        <w:t xml:space="preserve">3.2 Key Performance Indicators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KPI</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Current</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Target (12mo)</w:t>
            </w:r>
          </w:p>
        </w:tc>
      </w:tr>
      <w:tr>
        <w:tc>
          <w:tcPr>
            <w:tcW w:type="dxa" w:w="3120"/>
            <w:tcBorders>
              <w:top w:val="single" w:color="CCCCCC" w:sz="1"/>
              <w:left w:val="single" w:color="CCCCCC" w:sz="1"/>
              <w:bottom w:val="single" w:color="CCCCCC" w:sz="1"/>
              <w:right w:val="single" w:color="CCCCCC" w:sz="1"/>
            </w:tcBorders>
          </w:tcPr>
          <w:p>
            <w:r>
              <w:t xml:space="preserve">Time to First Card Issued</w:t>
            </w:r>
          </w:p>
        </w:tc>
        <w:tc>
          <w:tcPr>
            <w:tcW w:type="dxa" w:w="3120"/>
            <w:tcBorders>
              <w:top w:val="single" w:color="CCCCCC" w:sz="1"/>
              <w:left w:val="single" w:color="CCCCCC" w:sz="1"/>
              <w:bottom w:val="single" w:color="CCCCCC" w:sz="1"/>
              <w:right w:val="single" w:color="CCCCCC" w:sz="1"/>
            </w:tcBorders>
          </w:tcPr>
          <w:p>
            <w:pPr>
              <w:jc w:val="center"/>
            </w:pPr>
            <w:r>
              <w:t xml:space="preserve">8 weeks</w:t>
            </w:r>
          </w:p>
        </w:tc>
        <w:tc>
          <w:tcPr>
            <w:tcW w:type="dxa" w:w="3120"/>
            <w:tcBorders>
              <w:top w:val="single" w:color="CCCCCC" w:sz="1"/>
              <w:left w:val="single" w:color="CCCCCC" w:sz="1"/>
              <w:bottom w:val="single" w:color="CCCCCC" w:sz="1"/>
              <w:right w:val="single" w:color="CCCCCC" w:sz="1"/>
            </w:tcBorders>
          </w:tcPr>
          <w:p>
            <w:pPr>
              <w:jc w:val="center"/>
            </w:pPr>
            <w:r>
              <w:t xml:space="preserve">5 days</w:t>
            </w:r>
          </w:p>
        </w:tc>
      </w:tr>
      <w:tr>
        <w:tc>
          <w:tcPr>
            <w:tcW w:type="dxa" w:w="3120"/>
            <w:tcBorders>
              <w:top w:val="single" w:color="CCCCCC" w:sz="1"/>
              <w:left w:val="single" w:color="CCCCCC" w:sz="1"/>
              <w:bottom w:val="single" w:color="CCCCCC" w:sz="1"/>
              <w:right w:val="single" w:color="CCCCCC" w:sz="1"/>
            </w:tcBorders>
          </w:tcPr>
          <w:p>
            <w:r>
              <w:t xml:space="preserve">Self-Service Configuration Rate</w:t>
            </w:r>
          </w:p>
        </w:tc>
        <w:tc>
          <w:tcPr>
            <w:tcW w:type="dxa" w:w="3120"/>
            <w:tcBorders>
              <w:top w:val="single" w:color="CCCCCC" w:sz="1"/>
              <w:left w:val="single" w:color="CCCCCC" w:sz="1"/>
              <w:bottom w:val="single" w:color="CCCCCC" w:sz="1"/>
              <w:right w:val="single" w:color="CCCCCC" w:sz="1"/>
            </w:tcBorders>
          </w:tcPr>
          <w:p>
            <w:pPr>
              <w:jc w:val="center"/>
            </w:pPr>
            <w:r>
              <w:t xml:space="preserve">0%</w:t>
            </w:r>
          </w:p>
        </w:tc>
        <w:tc>
          <w:tcPr>
            <w:tcW w:type="dxa" w:w="3120"/>
            <w:tcBorders>
              <w:top w:val="single" w:color="CCCCCC" w:sz="1"/>
              <w:left w:val="single" w:color="CCCCCC" w:sz="1"/>
              <w:bottom w:val="single" w:color="CCCCCC" w:sz="1"/>
              <w:right w:val="single" w:color="CCCCCC" w:sz="1"/>
            </w:tcBorders>
          </w:tcPr>
          <w:p>
            <w:pPr>
              <w:jc w:val="center"/>
            </w:pPr>
            <w:r>
              <w:t xml:space="preserve">80%</w:t>
            </w:r>
          </w:p>
        </w:tc>
      </w:tr>
      <w:tr>
        <w:tc>
          <w:tcPr>
            <w:tcW w:type="dxa" w:w="3120"/>
            <w:tcBorders>
              <w:top w:val="single" w:color="CCCCCC" w:sz="1"/>
              <w:left w:val="single" w:color="CCCCCC" w:sz="1"/>
              <w:bottom w:val="single" w:color="CCCCCC" w:sz="1"/>
              <w:right w:val="single" w:color="CCCCCC" w:sz="1"/>
            </w:tcBorders>
          </w:tcPr>
          <w:p>
            <w:r>
              <w:t xml:space="preserve">Support Tickets per Program</w:t>
            </w:r>
          </w:p>
        </w:tc>
        <w:tc>
          <w:tcPr>
            <w:tcW w:type="dxa" w:w="3120"/>
            <w:tcBorders>
              <w:top w:val="single" w:color="CCCCCC" w:sz="1"/>
              <w:left w:val="single" w:color="CCCCCC" w:sz="1"/>
              <w:bottom w:val="single" w:color="CCCCCC" w:sz="1"/>
              <w:right w:val="single" w:color="CCCCCC" w:sz="1"/>
            </w:tcBorders>
          </w:tcPr>
          <w:p>
            <w:pPr>
              <w:jc w:val="center"/>
            </w:pPr>
            <w:r>
              <w:t xml:space="preserve">25+</w:t>
            </w:r>
          </w:p>
        </w:tc>
        <w:tc>
          <w:tcPr>
            <w:tcW w:type="dxa" w:w="3120"/>
            <w:tcBorders>
              <w:top w:val="single" w:color="CCCCCC" w:sz="1"/>
              <w:left w:val="single" w:color="CCCCCC" w:sz="1"/>
              <w:bottom w:val="single" w:color="CCCCCC" w:sz="1"/>
              <w:right w:val="single" w:color="CCCCCC" w:sz="1"/>
            </w:tcBorders>
          </w:tcPr>
          <w:p>
            <w:pPr>
              <w:jc w:val="center"/>
            </w:pPr>
            <w:r>
              <w:t xml:space="preserve">&lt;5</w:t>
            </w:r>
          </w:p>
        </w:tc>
      </w:tr>
      <w:tr>
        <w:tc>
          <w:tcPr>
            <w:tcW w:type="dxa" w:w="3120"/>
            <w:tcBorders>
              <w:top w:val="single" w:color="CCCCCC" w:sz="1"/>
              <w:left w:val="single" w:color="CCCCCC" w:sz="1"/>
              <w:bottom w:val="single" w:color="CCCCCC" w:sz="1"/>
              <w:right w:val="single" w:color="CCCCCC" w:sz="1"/>
            </w:tcBorders>
          </w:tcPr>
          <w:p>
            <w:r>
              <w:t xml:space="preserve">API Uptime</w:t>
            </w:r>
          </w:p>
        </w:tc>
        <w:tc>
          <w:tcPr>
            <w:tcW w:type="dxa" w:w="3120"/>
            <w:tcBorders>
              <w:top w:val="single" w:color="CCCCCC" w:sz="1"/>
              <w:left w:val="single" w:color="CCCCCC" w:sz="1"/>
              <w:bottom w:val="single" w:color="CCCCCC" w:sz="1"/>
              <w:right w:val="single" w:color="CCCCCC" w:sz="1"/>
            </w:tcBorders>
          </w:tcPr>
          <w:p>
            <w:pPr>
              <w:jc w:val="center"/>
            </w:pPr>
            <w:r>
              <w:t xml:space="preserve">N/A</w:t>
            </w:r>
          </w:p>
        </w:tc>
        <w:tc>
          <w:tcPr>
            <w:tcW w:type="dxa" w:w="3120"/>
            <w:tcBorders>
              <w:top w:val="single" w:color="CCCCCC" w:sz="1"/>
              <w:left w:val="single" w:color="CCCCCC" w:sz="1"/>
              <w:bottom w:val="single" w:color="CCCCCC" w:sz="1"/>
              <w:right w:val="single" w:color="CCCCCC" w:sz="1"/>
            </w:tcBorders>
          </w:tcPr>
          <w:p>
            <w:pPr>
              <w:jc w:val="center"/>
            </w:pPr>
            <w:r>
              <w:t xml:space="preserve">99.95%</w:t>
            </w:r>
          </w:p>
        </w:tc>
      </w:tr>
    </w:tbl>
    <w:p>
      <w:r>
        <w:br w:type="page"/>
      </w:r>
    </w:p>
    <w:p>
      <w:pPr>
        <w:pStyle w:val="Heading1"/>
      </w:pPr>
      <w:r>
        <w:t xml:space="preserve">4. User Personas</w:t>
      </w:r>
    </w:p>
    <w:p>
      <w:pPr>
        <w:pStyle w:val="Heading2"/>
      </w:pPr>
      <w:r>
        <w:t xml:space="preserve">4.1 Program Administrator (Primary)</w:t>
      </w:r>
    </w:p>
    <w:p>
      <w:pPr>
        <w:spacing w:after="100"/>
      </w:pPr>
      <w:r>
        <w:rPr>
          <w:i/>
          <w:iCs/>
          <w:color w:val="718096"/>
        </w:rPr>
        <w:t xml:space="preserve">"Maria" - Head of Treasury Operations at UN</w:t>
      </w:r>
    </w:p>
    <w:p>
      <w:pPr>
        <w:pStyle w:val="ListParagraph"/>
        <w:numPr>
          <w:ilvl w:val="0"/>
          <w:numId w:val="2"/>
        </w:numPr>
      </w:pPr>
      <w:r>
        <w:rPr>
          <w:b/>
          <w:bCs/>
        </w:rPr>
        <w:t xml:space="preserve">Role: </w:t>
      </w:r>
      <w:r>
        <w:t xml:space="preserve">Responsible for managing payment programs across 50+ country offices</w:t>
      </w:r>
    </w:p>
    <w:p>
      <w:pPr>
        <w:pStyle w:val="ListParagraph"/>
        <w:numPr>
          <w:ilvl w:val="0"/>
          <w:numId w:val="2"/>
        </w:numPr>
      </w:pPr>
      <w:r>
        <w:rPr>
          <w:b/>
          <w:bCs/>
        </w:rPr>
        <w:t xml:space="preserve">Goals: </w:t>
      </w:r>
      <w:r>
        <w:t xml:space="preserve">Quickly deploy new card programs for different employee segments; maintain compliance; control spending</w:t>
      </w:r>
    </w:p>
    <w:p>
      <w:pPr>
        <w:pStyle w:val="ListParagraph"/>
        <w:numPr>
          <w:ilvl w:val="0"/>
          <w:numId w:val="2"/>
        </w:numPr>
      </w:pPr>
      <w:r>
        <w:rPr>
          <w:b/>
          <w:bCs/>
        </w:rPr>
        <w:t xml:space="preserve">Pain Points: </w:t>
      </w:r>
      <w:r>
        <w:t xml:space="preserve">Current process takes 3+ months per program; limited visibility into card usage; cannot react quickly to organizational changes</w:t>
      </w:r>
    </w:p>
    <w:p>
      <w:pPr>
        <w:pStyle w:val="ListParagraph"/>
        <w:numPr>
          <w:ilvl w:val="0"/>
          <w:numId w:val="2"/>
        </w:numPr>
      </w:pPr>
      <w:r>
        <w:rPr>
          <w:b/>
          <w:bCs/>
        </w:rPr>
        <w:t xml:space="preserve">Technical Proficiency: </w:t>
      </w:r>
      <w:r>
        <w:t xml:space="preserve">Moderate - comfortable with enterprise software, not a developer</w:t>
      </w:r>
    </w:p>
    <w:p>
      <w:pPr>
        <w:pStyle w:val="Heading2"/>
      </w:pPr>
      <w:r>
        <w:t xml:space="preserve">4.2 Technical Integrator (Secondary)</w:t>
      </w:r>
    </w:p>
    <w:p>
      <w:pPr>
        <w:spacing w:after="100"/>
      </w:pPr>
      <w:r>
        <w:rPr>
          <w:i/>
          <w:iCs/>
          <w:color w:val="718096"/>
        </w:rPr>
        <w:t xml:space="preserve">"Alex" - Lead Backend Developer at FinTech Startup</w:t>
      </w:r>
    </w:p>
    <w:p>
      <w:pPr>
        <w:pStyle w:val="ListParagraph"/>
        <w:numPr>
          <w:ilvl w:val="0"/>
          <w:numId w:val="2"/>
        </w:numPr>
      </w:pPr>
      <w:r>
        <w:rPr>
          <w:b/>
          <w:bCs/>
        </w:rPr>
        <w:t xml:space="preserve">Role: </w:t>
      </w:r>
      <w:r>
        <w:t xml:space="preserve">Building embedded card product for their neobank application</w:t>
      </w:r>
    </w:p>
    <w:p>
      <w:pPr>
        <w:pStyle w:val="ListParagraph"/>
        <w:numPr>
          <w:ilvl w:val="0"/>
          <w:numId w:val="2"/>
        </w:numPr>
      </w:pPr>
      <w:r>
        <w:rPr>
          <w:b/>
          <w:bCs/>
        </w:rPr>
        <w:t xml:space="preserve">Goals: </w:t>
      </w:r>
      <w:r>
        <w:t xml:space="preserve">Programmatic control over card programs; webhook integrations; automated provisioning</w:t>
      </w:r>
    </w:p>
    <w:p>
      <w:pPr>
        <w:pStyle w:val="ListParagraph"/>
        <w:numPr>
          <w:ilvl w:val="0"/>
          <w:numId w:val="2"/>
        </w:numPr>
      </w:pPr>
      <w:r>
        <w:rPr>
          <w:b/>
          <w:bCs/>
        </w:rPr>
        <w:t xml:space="preserve">Pain Points: </w:t>
      </w:r>
      <w:r>
        <w:t xml:space="preserve">Needs comprehensive API documentation; wants sandbox environment; requires idempotent operations</w:t>
      </w:r>
    </w:p>
    <w:p>
      <w:pPr>
        <w:pStyle w:val="ListParagraph"/>
        <w:numPr>
          <w:ilvl w:val="0"/>
          <w:numId w:val="2"/>
        </w:numPr>
      </w:pPr>
      <w:r>
        <w:rPr>
          <w:b/>
          <w:bCs/>
        </w:rPr>
        <w:t xml:space="preserve">Technical Proficiency: </w:t>
      </w:r>
      <w:r>
        <w:t xml:space="preserve">High - expects REST/GraphQL APIs, OpenAPI specs, SDKs</w:t>
      </w:r>
    </w:p>
    <w:p>
      <w:pPr>
        <w:pStyle w:val="Heading2"/>
      </w:pPr>
      <w:r>
        <w:t xml:space="preserve">4.3 Compliance Officer (Tertiary)</w:t>
      </w:r>
    </w:p>
    <w:p>
      <w:pPr>
        <w:spacing w:after="100"/>
      </w:pPr>
      <w:r>
        <w:rPr>
          <w:i/>
          <w:iCs/>
          <w:color w:val="718096"/>
        </w:rPr>
        <w:t xml:space="preserve">"Thomas" - Chief Compliance Officer at Regional Bank</w:t>
      </w:r>
    </w:p>
    <w:p>
      <w:pPr>
        <w:pStyle w:val="ListParagraph"/>
        <w:numPr>
          <w:ilvl w:val="0"/>
          <w:numId w:val="2"/>
        </w:numPr>
      </w:pPr>
      <w:r>
        <w:rPr>
          <w:b/>
          <w:bCs/>
        </w:rPr>
        <w:t xml:space="preserve">Role: </w:t>
      </w:r>
      <w:r>
        <w:t xml:space="preserve">Ensures all card programs meet regulatory requirements</w:t>
      </w:r>
    </w:p>
    <w:p>
      <w:pPr>
        <w:pStyle w:val="ListParagraph"/>
        <w:numPr>
          <w:ilvl w:val="0"/>
          <w:numId w:val="2"/>
        </w:numPr>
      </w:pPr>
      <w:r>
        <w:rPr>
          <w:b/>
          <w:bCs/>
        </w:rPr>
        <w:t xml:space="preserve">Goals: </w:t>
      </w:r>
      <w:r>
        <w:t xml:space="preserve">Audit trails; approval workflows; compliance reporting; KYC/AML integration visibility</w:t>
      </w:r>
    </w:p>
    <w:p>
      <w:pPr>
        <w:pStyle w:val="ListParagraph"/>
        <w:numPr>
          <w:ilvl w:val="0"/>
          <w:numId w:val="2"/>
        </w:numPr>
      </w:pPr>
      <w:r>
        <w:rPr>
          <w:b/>
          <w:bCs/>
        </w:rPr>
        <w:t xml:space="preserve">Pain Points: </w:t>
      </w:r>
      <w:r>
        <w:t xml:space="preserve">Needs immutable logs; real-time alerts on policy violations; export capabilities</w:t>
      </w:r>
    </w:p>
    <w:p>
      <w:pPr>
        <w:pStyle w:val="ListParagraph"/>
        <w:numPr>
          <w:ilvl w:val="0"/>
          <w:numId w:val="2"/>
        </w:numPr>
      </w:pPr>
      <w:r>
        <w:rPr>
          <w:b/>
          <w:bCs/>
        </w:rPr>
        <w:t xml:space="preserve">Technical Proficiency: </w:t>
      </w:r>
      <w:r>
        <w:t xml:space="preserve">Low to Moderate - needs clear UI, no technical jargon</w:t>
      </w:r>
    </w:p>
    <w:p>
      <w:pPr>
        <w:pStyle w:val="Heading2"/>
      </w:pPr>
      <w:r>
        <w:t xml:space="preserve">4.4 Finance Manager (Quaternary)</w:t>
      </w:r>
    </w:p>
    <w:p>
      <w:pPr>
        <w:spacing w:after="100"/>
      </w:pPr>
      <w:r>
        <w:rPr>
          <w:i/>
          <w:iCs/>
          <w:color w:val="718096"/>
        </w:rPr>
        <w:t xml:space="preserve">"Sarah" - CFO at Mid-sized Enterprise</w:t>
      </w:r>
    </w:p>
    <w:p>
      <w:pPr>
        <w:pStyle w:val="ListParagraph"/>
        <w:numPr>
          <w:ilvl w:val="0"/>
          <w:numId w:val="2"/>
        </w:numPr>
      </w:pPr>
      <w:r>
        <w:rPr>
          <w:b/>
          <w:bCs/>
        </w:rPr>
        <w:t xml:space="preserve">Role: </w:t>
      </w:r>
      <w:r>
        <w:t xml:space="preserve">Oversees corporate card programs and expense management</w:t>
      </w:r>
    </w:p>
    <w:p>
      <w:pPr>
        <w:pStyle w:val="ListParagraph"/>
        <w:numPr>
          <w:ilvl w:val="0"/>
          <w:numId w:val="2"/>
        </w:numPr>
      </w:pPr>
      <w:r>
        <w:rPr>
          <w:b/>
          <w:bCs/>
        </w:rPr>
        <w:t xml:space="preserve">Goals: </w:t>
      </w:r>
      <w:r>
        <w:t xml:space="preserve">Budget controls; real-time spending visibility; automated reconciliation</w:t>
      </w:r>
    </w:p>
    <w:p>
      <w:pPr>
        <w:pStyle w:val="ListParagraph"/>
        <w:numPr>
          <w:ilvl w:val="0"/>
          <w:numId w:val="2"/>
        </w:numPr>
      </w:pPr>
      <w:r>
        <w:rPr>
          <w:b/>
          <w:bCs/>
        </w:rPr>
        <w:t xml:space="preserve">Pain Points: </w:t>
      </w:r>
      <w:r>
        <w:t xml:space="preserve">Manual expense tracking; delayed transaction data; complex reporting</w:t>
      </w:r>
    </w:p>
    <w:p>
      <w:pPr>
        <w:pStyle w:val="ListParagraph"/>
        <w:numPr>
          <w:ilvl w:val="0"/>
          <w:numId w:val="2"/>
        </w:numPr>
      </w:pPr>
      <w:r>
        <w:rPr>
          <w:b/>
          <w:bCs/>
        </w:rPr>
        <w:t xml:space="preserve">Technical Proficiency: </w:t>
      </w:r>
      <w:r>
        <w:t xml:space="preserve">Moderate - expects Excel exports, dashboard analytics</w:t>
      </w:r>
    </w:p>
    <w:p>
      <w:r>
        <w:br w:type="page"/>
      </w:r>
    </w:p>
    <w:p>
      <w:pPr>
        <w:pStyle w:val="Heading1"/>
      </w:pPr>
      <w:r>
        <w:t xml:space="preserve">5. Card Program Types &amp; Taxonomy</w:t>
      </w:r>
    </w:p>
    <w:p>
      <w:pPr>
        <w:spacing w:after="200"/>
      </w:pPr>
      <w:r>
        <w:t xml:space="preserve">The portal must support configuration of the following card program types, each with specific attributes and business rules:</w:t>
      </w:r>
    </w:p>
    <w:p>
      <w:pPr>
        <w:pStyle w:val="Heading2"/>
      </w:pPr>
      <w:r>
        <w:t xml:space="preserve">5.1 By Funding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Type</w:t>
            </w:r>
          </w:p>
        </w:tc>
        <w:tc>
          <w:tcPr>
            <w:tcW w:type="dxa" w:w="3500"/>
            <w:tcBorders>
              <w:top w:val="single" w:color="CCCCCC" w:sz="1"/>
              <w:left w:val="single" w:color="CCCCCC" w:sz="1"/>
              <w:bottom w:val="single" w:color="CCCCCC" w:sz="1"/>
              <w:right w:val="single" w:color="CCCCCC" w:sz="1"/>
            </w:tcBorders>
            <w:shd w:fill="2c5282" w:val="clear"/>
          </w:tcPr>
          <w:p>
            <w:r>
              <w:rPr>
                <w:b/>
                <w:bCs/>
                <w:color w:val="FFFFFF"/>
              </w:rPr>
              <w:t xml:space="preserve">Description</w:t>
            </w:r>
          </w:p>
        </w:tc>
        <w:tc>
          <w:tcPr>
            <w:tcW w:type="dxa" w:w="3860"/>
            <w:tcBorders>
              <w:top w:val="single" w:color="CCCCCC" w:sz="1"/>
              <w:left w:val="single" w:color="CCCCCC" w:sz="1"/>
              <w:bottom w:val="single" w:color="CCCCCC" w:sz="1"/>
              <w:right w:val="single" w:color="CCCCCC" w:sz="1"/>
            </w:tcBorders>
            <w:shd w:fill="2c5282" w:val="clear"/>
          </w:tcPr>
          <w:p>
            <w:r>
              <w:rPr>
                <w:b/>
                <w:bCs/>
                <w:color w:val="FFFFFF"/>
              </w:rPr>
              <w:t xml:space="preserve">Key Configuration</w:t>
            </w:r>
          </w:p>
        </w:tc>
      </w:tr>
      <w:tr>
        <w:tc>
          <w:tcPr>
            <w:tcW w:type="dxa" w:w="2000"/>
            <w:tcBorders>
              <w:top w:val="single" w:color="CCCCCC" w:sz="1"/>
              <w:left w:val="single" w:color="CCCCCC" w:sz="1"/>
              <w:bottom w:val="single" w:color="CCCCCC" w:sz="1"/>
              <w:right w:val="single" w:color="CCCCCC" w:sz="1"/>
            </w:tcBorders>
          </w:tcPr>
          <w:p>
            <w:r>
              <w:rPr>
                <w:b/>
                <w:bCs/>
              </w:rPr>
              <w:t xml:space="preserve">Prepaid</w:t>
            </w:r>
          </w:p>
        </w:tc>
        <w:tc>
          <w:tcPr>
            <w:tcW w:type="dxa" w:w="3500"/>
            <w:tcBorders>
              <w:top w:val="single" w:color="CCCCCC" w:sz="1"/>
              <w:left w:val="single" w:color="CCCCCC" w:sz="1"/>
              <w:bottom w:val="single" w:color="CCCCCC" w:sz="1"/>
              <w:right w:val="single" w:color="CCCCCC" w:sz="1"/>
            </w:tcBorders>
          </w:tcPr>
          <w:p>
            <w:r>
              <w:t xml:space="preserve">Funds loaded in advance; spend limited to balance</w:t>
            </w:r>
          </w:p>
        </w:tc>
        <w:tc>
          <w:tcPr>
            <w:tcW w:type="dxa" w:w="3860"/>
            <w:tcBorders>
              <w:top w:val="single" w:color="CCCCCC" w:sz="1"/>
              <w:left w:val="single" w:color="CCCCCC" w:sz="1"/>
              <w:bottom w:val="single" w:color="CCCCCC" w:sz="1"/>
              <w:right w:val="single" w:color="CCCCCC" w:sz="1"/>
            </w:tcBorders>
          </w:tcPr>
          <w:p>
            <w:r>
              <w:t xml:space="preserve">Load limits, auto-reload rules, expiration</w:t>
            </w:r>
          </w:p>
        </w:tc>
      </w:tr>
      <w:tr>
        <w:tc>
          <w:tcPr>
            <w:tcW w:type="dxa" w:w="2000"/>
            <w:tcBorders>
              <w:top w:val="single" w:color="CCCCCC" w:sz="1"/>
              <w:left w:val="single" w:color="CCCCCC" w:sz="1"/>
              <w:bottom w:val="single" w:color="CCCCCC" w:sz="1"/>
              <w:right w:val="single" w:color="CCCCCC" w:sz="1"/>
            </w:tcBorders>
          </w:tcPr>
          <w:p>
            <w:r>
              <w:rPr>
                <w:b/>
                <w:bCs/>
              </w:rPr>
              <w:t xml:space="preserve">Debit</w:t>
            </w:r>
          </w:p>
        </w:tc>
        <w:tc>
          <w:tcPr>
            <w:tcW w:type="dxa" w:w="3500"/>
            <w:tcBorders>
              <w:top w:val="single" w:color="CCCCCC" w:sz="1"/>
              <w:left w:val="single" w:color="CCCCCC" w:sz="1"/>
              <w:bottom w:val="single" w:color="CCCCCC" w:sz="1"/>
              <w:right w:val="single" w:color="CCCCCC" w:sz="1"/>
            </w:tcBorders>
          </w:tcPr>
          <w:p>
            <w:r>
              <w:t xml:space="preserve">Linked to bank account; real-time balance check</w:t>
            </w:r>
          </w:p>
        </w:tc>
        <w:tc>
          <w:tcPr>
            <w:tcW w:type="dxa" w:w="3860"/>
            <w:tcBorders>
              <w:top w:val="single" w:color="CCCCCC" w:sz="1"/>
              <w:left w:val="single" w:color="CCCCCC" w:sz="1"/>
              <w:bottom w:val="single" w:color="CCCCCC" w:sz="1"/>
              <w:right w:val="single" w:color="CCCCCC" w:sz="1"/>
            </w:tcBorders>
          </w:tcPr>
          <w:p>
            <w:r>
              <w:t xml:space="preserve">Account linking, overdraft rules, daily limits</w:t>
            </w:r>
          </w:p>
        </w:tc>
      </w:tr>
      <w:tr>
        <w:tc>
          <w:tcPr>
            <w:tcW w:type="dxa" w:w="2000"/>
            <w:tcBorders>
              <w:top w:val="single" w:color="CCCCCC" w:sz="1"/>
              <w:left w:val="single" w:color="CCCCCC" w:sz="1"/>
              <w:bottom w:val="single" w:color="CCCCCC" w:sz="1"/>
              <w:right w:val="single" w:color="CCCCCC" w:sz="1"/>
            </w:tcBorders>
          </w:tcPr>
          <w:p>
            <w:r>
              <w:rPr>
                <w:b/>
                <w:bCs/>
              </w:rPr>
              <w:t xml:space="preserve">Credit</w:t>
            </w:r>
          </w:p>
        </w:tc>
        <w:tc>
          <w:tcPr>
            <w:tcW w:type="dxa" w:w="3500"/>
            <w:tcBorders>
              <w:top w:val="single" w:color="CCCCCC" w:sz="1"/>
              <w:left w:val="single" w:color="CCCCCC" w:sz="1"/>
              <w:bottom w:val="single" w:color="CCCCCC" w:sz="1"/>
              <w:right w:val="single" w:color="CCCCCC" w:sz="1"/>
            </w:tcBorders>
          </w:tcPr>
          <w:p>
            <w:r>
              <w:t xml:space="preserve">Credit line extended; pay later model</w:t>
            </w:r>
          </w:p>
        </w:tc>
        <w:tc>
          <w:tcPr>
            <w:tcW w:type="dxa" w:w="3860"/>
            <w:tcBorders>
              <w:top w:val="single" w:color="CCCCCC" w:sz="1"/>
              <w:left w:val="single" w:color="CCCCCC" w:sz="1"/>
              <w:bottom w:val="single" w:color="CCCCCC" w:sz="1"/>
              <w:right w:val="single" w:color="CCCCCC" w:sz="1"/>
            </w:tcBorders>
          </w:tcPr>
          <w:p>
            <w:r>
              <w:t xml:space="preserve">Credit limit, APR, billing cycle, min payment</w:t>
            </w:r>
          </w:p>
        </w:tc>
      </w:tr>
      <w:tr>
        <w:tc>
          <w:tcPr>
            <w:tcW w:type="dxa" w:w="2000"/>
            <w:tcBorders>
              <w:top w:val="single" w:color="CCCCCC" w:sz="1"/>
              <w:left w:val="single" w:color="CCCCCC" w:sz="1"/>
              <w:bottom w:val="single" w:color="CCCCCC" w:sz="1"/>
              <w:right w:val="single" w:color="CCCCCC" w:sz="1"/>
            </w:tcBorders>
          </w:tcPr>
          <w:p>
            <w:r>
              <w:rPr>
                <w:b/>
                <w:bCs/>
              </w:rPr>
              <w:t xml:space="preserve">Revolving</w:t>
            </w:r>
          </w:p>
        </w:tc>
        <w:tc>
          <w:tcPr>
            <w:tcW w:type="dxa" w:w="3500"/>
            <w:tcBorders>
              <w:top w:val="single" w:color="CCCCCC" w:sz="1"/>
              <w:left w:val="single" w:color="CCCCCC" w:sz="1"/>
              <w:bottom w:val="single" w:color="CCCCCC" w:sz="1"/>
              <w:right w:val="single" w:color="CCCCCC" w:sz="1"/>
            </w:tcBorders>
          </w:tcPr>
          <w:p>
            <w:r>
              <w:t xml:space="preserve">Credit that replenishes as paid; ongoing access</w:t>
            </w:r>
          </w:p>
        </w:tc>
        <w:tc>
          <w:tcPr>
            <w:tcW w:type="dxa" w:w="3860"/>
            <w:tcBorders>
              <w:top w:val="single" w:color="CCCCCC" w:sz="1"/>
              <w:left w:val="single" w:color="CCCCCC" w:sz="1"/>
              <w:bottom w:val="single" w:color="CCCCCC" w:sz="1"/>
              <w:right w:val="single" w:color="CCCCCC" w:sz="1"/>
            </w:tcBorders>
          </w:tcPr>
          <w:p>
            <w:r>
              <w:t xml:space="preserve">Interest calc method, grace period, payment priority</w:t>
            </w:r>
          </w:p>
        </w:tc>
      </w:tr>
    </w:tbl>
    <w:p>
      <w:pPr>
        <w:pStyle w:val="Heading2"/>
      </w:pPr>
      <w:r>
        <w:t xml:space="preserve">5.2 By Form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Type</w:t>
            </w:r>
          </w:p>
        </w:tc>
        <w:tc>
          <w:tcPr>
            <w:tcW w:type="dxa" w:w="3500"/>
            <w:tcBorders>
              <w:top w:val="single" w:color="CCCCCC" w:sz="1"/>
              <w:left w:val="single" w:color="CCCCCC" w:sz="1"/>
              <w:bottom w:val="single" w:color="CCCCCC" w:sz="1"/>
              <w:right w:val="single" w:color="CCCCCC" w:sz="1"/>
            </w:tcBorders>
            <w:shd w:fill="2c5282" w:val="clear"/>
          </w:tcPr>
          <w:p>
            <w:r>
              <w:rPr>
                <w:b/>
                <w:bCs/>
                <w:color w:val="FFFFFF"/>
              </w:rPr>
              <w:t xml:space="preserve">Description</w:t>
            </w:r>
          </w:p>
        </w:tc>
        <w:tc>
          <w:tcPr>
            <w:tcW w:type="dxa" w:w="3860"/>
            <w:tcBorders>
              <w:top w:val="single" w:color="CCCCCC" w:sz="1"/>
              <w:left w:val="single" w:color="CCCCCC" w:sz="1"/>
              <w:bottom w:val="single" w:color="CCCCCC" w:sz="1"/>
              <w:right w:val="single" w:color="CCCCCC" w:sz="1"/>
            </w:tcBorders>
            <w:shd w:fill="2c5282" w:val="clear"/>
          </w:tcPr>
          <w:p>
            <w:r>
              <w:rPr>
                <w:b/>
                <w:bCs/>
                <w:color w:val="FFFFFF"/>
              </w:rPr>
              <w:t xml:space="preserve">Key Configuration</w:t>
            </w:r>
          </w:p>
        </w:tc>
      </w:tr>
      <w:tr>
        <w:tc>
          <w:tcPr>
            <w:tcW w:type="dxa" w:w="2000"/>
            <w:tcBorders>
              <w:top w:val="single" w:color="CCCCCC" w:sz="1"/>
              <w:left w:val="single" w:color="CCCCCC" w:sz="1"/>
              <w:bottom w:val="single" w:color="CCCCCC" w:sz="1"/>
              <w:right w:val="single" w:color="CCCCCC" w:sz="1"/>
            </w:tcBorders>
          </w:tcPr>
          <w:p>
            <w:r>
              <w:rPr>
                <w:b/>
                <w:bCs/>
              </w:rPr>
              <w:t xml:space="preserve">Physical</w:t>
            </w:r>
          </w:p>
        </w:tc>
        <w:tc>
          <w:tcPr>
            <w:tcW w:type="dxa" w:w="3500"/>
            <w:tcBorders>
              <w:top w:val="single" w:color="CCCCCC" w:sz="1"/>
              <w:left w:val="single" w:color="CCCCCC" w:sz="1"/>
              <w:bottom w:val="single" w:color="CCCCCC" w:sz="1"/>
              <w:right w:val="single" w:color="CCCCCC" w:sz="1"/>
            </w:tcBorders>
          </w:tcPr>
          <w:p>
            <w:r>
              <w:t xml:space="preserve">Traditional plastic card with chip/magnetic stripe</w:t>
            </w:r>
          </w:p>
        </w:tc>
        <w:tc>
          <w:tcPr>
            <w:tcW w:type="dxa" w:w="3860"/>
            <w:tcBorders>
              <w:top w:val="single" w:color="CCCCCC" w:sz="1"/>
              <w:left w:val="single" w:color="CCCCCC" w:sz="1"/>
              <w:bottom w:val="single" w:color="CCCCCC" w:sz="1"/>
              <w:right w:val="single" w:color="CCCCCC" w:sz="1"/>
            </w:tcBorders>
          </w:tcPr>
          <w:p>
            <w:r>
              <w:t xml:space="preserve">Card design, embossing, shipping, PIN delivery</w:t>
            </w:r>
          </w:p>
        </w:tc>
      </w:tr>
      <w:tr>
        <w:tc>
          <w:tcPr>
            <w:tcW w:type="dxa" w:w="2000"/>
            <w:tcBorders>
              <w:top w:val="single" w:color="CCCCCC" w:sz="1"/>
              <w:left w:val="single" w:color="CCCCCC" w:sz="1"/>
              <w:bottom w:val="single" w:color="CCCCCC" w:sz="1"/>
              <w:right w:val="single" w:color="CCCCCC" w:sz="1"/>
            </w:tcBorders>
          </w:tcPr>
          <w:p>
            <w:r>
              <w:rPr>
                <w:b/>
                <w:bCs/>
              </w:rPr>
              <w:t xml:space="preserve">Virtual</w:t>
            </w:r>
          </w:p>
        </w:tc>
        <w:tc>
          <w:tcPr>
            <w:tcW w:type="dxa" w:w="3500"/>
            <w:tcBorders>
              <w:top w:val="single" w:color="CCCCCC" w:sz="1"/>
              <w:left w:val="single" w:color="CCCCCC" w:sz="1"/>
              <w:bottom w:val="single" w:color="CCCCCC" w:sz="1"/>
              <w:right w:val="single" w:color="CCCCCC" w:sz="1"/>
            </w:tcBorders>
          </w:tcPr>
          <w:p>
            <w:r>
              <w:t xml:space="preserve">Digital-only card for online transactions</w:t>
            </w:r>
          </w:p>
        </w:tc>
        <w:tc>
          <w:tcPr>
            <w:tcW w:type="dxa" w:w="3860"/>
            <w:tcBorders>
              <w:top w:val="single" w:color="CCCCCC" w:sz="1"/>
              <w:left w:val="single" w:color="CCCCCC" w:sz="1"/>
              <w:bottom w:val="single" w:color="CCCCCC" w:sz="1"/>
              <w:right w:val="single" w:color="CCCCCC" w:sz="1"/>
            </w:tcBorders>
          </w:tcPr>
          <w:p>
            <w:r>
              <w:t xml:space="preserve">Instant issuance, single-use options, expiry</w:t>
            </w:r>
          </w:p>
        </w:tc>
      </w:tr>
      <w:tr>
        <w:tc>
          <w:tcPr>
            <w:tcW w:type="dxa" w:w="2000"/>
            <w:tcBorders>
              <w:top w:val="single" w:color="CCCCCC" w:sz="1"/>
              <w:left w:val="single" w:color="CCCCCC" w:sz="1"/>
              <w:bottom w:val="single" w:color="CCCCCC" w:sz="1"/>
              <w:right w:val="single" w:color="CCCCCC" w:sz="1"/>
            </w:tcBorders>
          </w:tcPr>
          <w:p>
            <w:r>
              <w:rPr>
                <w:b/>
                <w:bCs/>
              </w:rPr>
              <w:t xml:space="preserve">Tokenized</w:t>
            </w:r>
          </w:p>
        </w:tc>
        <w:tc>
          <w:tcPr>
            <w:tcW w:type="dxa" w:w="3500"/>
            <w:tcBorders>
              <w:top w:val="single" w:color="CCCCCC" w:sz="1"/>
              <w:left w:val="single" w:color="CCCCCC" w:sz="1"/>
              <w:bottom w:val="single" w:color="CCCCCC" w:sz="1"/>
              <w:right w:val="single" w:color="CCCCCC" w:sz="1"/>
            </w:tcBorders>
          </w:tcPr>
          <w:p>
            <w:r>
              <w:t xml:space="preserve">Apple Pay, Google Pay, Samsung Pay enabled</w:t>
            </w:r>
          </w:p>
        </w:tc>
        <w:tc>
          <w:tcPr>
            <w:tcW w:type="dxa" w:w="3860"/>
            <w:tcBorders>
              <w:top w:val="single" w:color="CCCCCC" w:sz="1"/>
              <w:left w:val="single" w:color="CCCCCC" w:sz="1"/>
              <w:bottom w:val="single" w:color="CCCCCC" w:sz="1"/>
              <w:right w:val="single" w:color="CCCCCC" w:sz="1"/>
            </w:tcBorders>
          </w:tcPr>
          <w:p>
            <w:r>
              <w:t xml:space="preserve">Wallet provisioning, device binding, biometrics</w:t>
            </w:r>
          </w:p>
        </w:tc>
      </w:tr>
    </w:tbl>
    <w:p>
      <w:pPr>
        <w:pStyle w:val="Heading2"/>
      </w:pPr>
      <w:r>
        <w:t xml:space="preserve">5.3 By Use Case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Type</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Use Case</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MCC Restrictions</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Special Features</w:t>
            </w:r>
          </w:p>
        </w:tc>
      </w:tr>
      <w:tr>
        <w:tc>
          <w:tcPr>
            <w:tcW w:type="dxa" w:w="2340"/>
            <w:tcBorders>
              <w:top w:val="single" w:color="CCCCCC" w:sz="1"/>
              <w:left w:val="single" w:color="CCCCCC" w:sz="1"/>
              <w:bottom w:val="single" w:color="CCCCCC" w:sz="1"/>
              <w:right w:val="single" w:color="CCCCCC" w:sz="1"/>
            </w:tcBorders>
          </w:tcPr>
          <w:p>
            <w:r>
              <w:rPr>
                <w:b/>
                <w:bCs/>
              </w:rPr>
              <w:t xml:space="preserve">Corporate</w:t>
            </w:r>
          </w:p>
        </w:tc>
        <w:tc>
          <w:tcPr>
            <w:tcW w:type="dxa" w:w="2340"/>
            <w:tcBorders>
              <w:top w:val="single" w:color="CCCCCC" w:sz="1"/>
              <w:left w:val="single" w:color="CCCCCC" w:sz="1"/>
              <w:bottom w:val="single" w:color="CCCCCC" w:sz="1"/>
              <w:right w:val="single" w:color="CCCCCC" w:sz="1"/>
            </w:tcBorders>
          </w:tcPr>
          <w:p>
            <w:r>
              <w:t xml:space="preserve">Employee expenses</w:t>
            </w:r>
          </w:p>
        </w:tc>
        <w:tc>
          <w:tcPr>
            <w:tcW w:type="dxa" w:w="2340"/>
            <w:tcBorders>
              <w:top w:val="single" w:color="CCCCCC" w:sz="1"/>
              <w:left w:val="single" w:color="CCCCCC" w:sz="1"/>
              <w:bottom w:val="single" w:color="CCCCCC" w:sz="1"/>
              <w:right w:val="single" w:color="CCCCCC" w:sz="1"/>
            </w:tcBorders>
          </w:tcPr>
          <w:p>
            <w:r>
              <w:t xml:space="preserve">Configurable</w:t>
            </w:r>
          </w:p>
        </w:tc>
        <w:tc>
          <w:tcPr>
            <w:tcW w:type="dxa" w:w="2340"/>
            <w:tcBorders>
              <w:top w:val="single" w:color="CCCCCC" w:sz="1"/>
              <w:left w:val="single" w:color="CCCCCC" w:sz="1"/>
              <w:bottom w:val="single" w:color="CCCCCC" w:sz="1"/>
              <w:right w:val="single" w:color="CCCCCC" w:sz="1"/>
            </w:tcBorders>
          </w:tcPr>
          <w:p>
            <w:r>
              <w:t xml:space="preserve">Expense categories, receipts</w:t>
            </w:r>
          </w:p>
        </w:tc>
      </w:tr>
      <w:tr>
        <w:tc>
          <w:tcPr>
            <w:tcW w:type="dxa" w:w="2340"/>
            <w:tcBorders>
              <w:top w:val="single" w:color="CCCCCC" w:sz="1"/>
              <w:left w:val="single" w:color="CCCCCC" w:sz="1"/>
              <w:bottom w:val="single" w:color="CCCCCC" w:sz="1"/>
              <w:right w:val="single" w:color="CCCCCC" w:sz="1"/>
            </w:tcBorders>
          </w:tcPr>
          <w:p>
            <w:r>
              <w:rPr>
                <w:b/>
                <w:bCs/>
              </w:rPr>
              <w:t xml:space="preserve">Fleet/Fuel</w:t>
            </w:r>
          </w:p>
        </w:tc>
        <w:tc>
          <w:tcPr>
            <w:tcW w:type="dxa" w:w="2340"/>
            <w:tcBorders>
              <w:top w:val="single" w:color="CCCCCC" w:sz="1"/>
              <w:left w:val="single" w:color="CCCCCC" w:sz="1"/>
              <w:bottom w:val="single" w:color="CCCCCC" w:sz="1"/>
              <w:right w:val="single" w:color="CCCCCC" w:sz="1"/>
            </w:tcBorders>
          </w:tcPr>
          <w:p>
            <w:r>
              <w:t xml:space="preserve">Vehicle expenses</w:t>
            </w:r>
          </w:p>
        </w:tc>
        <w:tc>
          <w:tcPr>
            <w:tcW w:type="dxa" w:w="2340"/>
            <w:tcBorders>
              <w:top w:val="single" w:color="CCCCCC" w:sz="1"/>
              <w:left w:val="single" w:color="CCCCCC" w:sz="1"/>
              <w:bottom w:val="single" w:color="CCCCCC" w:sz="1"/>
              <w:right w:val="single" w:color="CCCCCC" w:sz="1"/>
            </w:tcBorders>
          </w:tcPr>
          <w:p>
            <w:r>
              <w:t xml:space="preserve">Fuel stations, parking</w:t>
            </w:r>
          </w:p>
        </w:tc>
        <w:tc>
          <w:tcPr>
            <w:tcW w:type="dxa" w:w="2340"/>
            <w:tcBorders>
              <w:top w:val="single" w:color="CCCCCC" w:sz="1"/>
              <w:left w:val="single" w:color="CCCCCC" w:sz="1"/>
              <w:bottom w:val="single" w:color="CCCCCC" w:sz="1"/>
              <w:right w:val="single" w:color="CCCCCC" w:sz="1"/>
            </w:tcBorders>
          </w:tcPr>
          <w:p>
            <w:r>
              <w:t xml:space="preserve">Odometer, vehicle ID, driver ID</w:t>
            </w:r>
          </w:p>
        </w:tc>
      </w:tr>
      <w:tr>
        <w:tc>
          <w:tcPr>
            <w:tcW w:type="dxa" w:w="2340"/>
            <w:tcBorders>
              <w:top w:val="single" w:color="CCCCCC" w:sz="1"/>
              <w:left w:val="single" w:color="CCCCCC" w:sz="1"/>
              <w:bottom w:val="single" w:color="CCCCCC" w:sz="1"/>
              <w:right w:val="single" w:color="CCCCCC" w:sz="1"/>
            </w:tcBorders>
          </w:tcPr>
          <w:p>
            <w:r>
              <w:rPr>
                <w:b/>
                <w:bCs/>
              </w:rPr>
              <w:t xml:space="preserve">Meal/Restaurant</w:t>
            </w:r>
          </w:p>
        </w:tc>
        <w:tc>
          <w:tcPr>
            <w:tcW w:type="dxa" w:w="2340"/>
            <w:tcBorders>
              <w:top w:val="single" w:color="CCCCCC" w:sz="1"/>
              <w:left w:val="single" w:color="CCCCCC" w:sz="1"/>
              <w:bottom w:val="single" w:color="CCCCCC" w:sz="1"/>
              <w:right w:val="single" w:color="CCCCCC" w:sz="1"/>
            </w:tcBorders>
          </w:tcPr>
          <w:p>
            <w:r>
              <w:t xml:space="preserve">Employee benefits</w:t>
            </w:r>
          </w:p>
        </w:tc>
        <w:tc>
          <w:tcPr>
            <w:tcW w:type="dxa" w:w="2340"/>
            <w:tcBorders>
              <w:top w:val="single" w:color="CCCCCC" w:sz="1"/>
              <w:left w:val="single" w:color="CCCCCC" w:sz="1"/>
              <w:bottom w:val="single" w:color="CCCCCC" w:sz="1"/>
              <w:right w:val="single" w:color="CCCCCC" w:sz="1"/>
            </w:tcBorders>
          </w:tcPr>
          <w:p>
            <w:r>
              <w:t xml:space="preserve">Restaurants, food delivery</w:t>
            </w:r>
          </w:p>
        </w:tc>
        <w:tc>
          <w:tcPr>
            <w:tcW w:type="dxa" w:w="2340"/>
            <w:tcBorders>
              <w:top w:val="single" w:color="CCCCCC" w:sz="1"/>
              <w:left w:val="single" w:color="CCCCCC" w:sz="1"/>
              <w:bottom w:val="single" w:color="CCCCCC" w:sz="1"/>
              <w:right w:val="single" w:color="CCCCCC" w:sz="1"/>
            </w:tcBorders>
          </w:tcPr>
          <w:p>
            <w:r>
              <w:t xml:space="preserve">Daily limits, time windows</w:t>
            </w:r>
          </w:p>
        </w:tc>
      </w:tr>
      <w:tr>
        <w:tc>
          <w:tcPr>
            <w:tcW w:type="dxa" w:w="2340"/>
            <w:tcBorders>
              <w:top w:val="single" w:color="CCCCCC" w:sz="1"/>
              <w:left w:val="single" w:color="CCCCCC" w:sz="1"/>
              <w:bottom w:val="single" w:color="CCCCCC" w:sz="1"/>
              <w:right w:val="single" w:color="CCCCCC" w:sz="1"/>
            </w:tcBorders>
          </w:tcPr>
          <w:p>
            <w:r>
              <w:rPr>
                <w:b/>
                <w:bCs/>
              </w:rPr>
              <w:t xml:space="preserve">Transport</w:t>
            </w:r>
          </w:p>
        </w:tc>
        <w:tc>
          <w:tcPr>
            <w:tcW w:type="dxa" w:w="2340"/>
            <w:tcBorders>
              <w:top w:val="single" w:color="CCCCCC" w:sz="1"/>
              <w:left w:val="single" w:color="CCCCCC" w:sz="1"/>
              <w:bottom w:val="single" w:color="CCCCCC" w:sz="1"/>
              <w:right w:val="single" w:color="CCCCCC" w:sz="1"/>
            </w:tcBorders>
          </w:tcPr>
          <w:p>
            <w:r>
              <w:t xml:space="preserve">Commute, travel</w:t>
            </w:r>
          </w:p>
        </w:tc>
        <w:tc>
          <w:tcPr>
            <w:tcW w:type="dxa" w:w="2340"/>
            <w:tcBorders>
              <w:top w:val="single" w:color="CCCCCC" w:sz="1"/>
              <w:left w:val="single" w:color="CCCCCC" w:sz="1"/>
              <w:bottom w:val="single" w:color="CCCCCC" w:sz="1"/>
              <w:right w:val="single" w:color="CCCCCC" w:sz="1"/>
            </w:tcBorders>
          </w:tcPr>
          <w:p>
            <w:r>
              <w:t xml:space="preserve">Transit, ride-share, airlines</w:t>
            </w:r>
          </w:p>
        </w:tc>
        <w:tc>
          <w:tcPr>
            <w:tcW w:type="dxa" w:w="2340"/>
            <w:tcBorders>
              <w:top w:val="single" w:color="CCCCCC" w:sz="1"/>
              <w:left w:val="single" w:color="CCCCCC" w:sz="1"/>
              <w:bottom w:val="single" w:color="CCCCCC" w:sz="1"/>
              <w:right w:val="single" w:color="CCCCCC" w:sz="1"/>
            </w:tcBorders>
          </w:tcPr>
          <w:p>
            <w:r>
              <w:t xml:space="preserve">Route tracking, travel policy</w:t>
            </w:r>
          </w:p>
        </w:tc>
      </w:tr>
      <w:tr>
        <w:tc>
          <w:tcPr>
            <w:tcW w:type="dxa" w:w="2340"/>
            <w:tcBorders>
              <w:top w:val="single" w:color="CCCCCC" w:sz="1"/>
              <w:left w:val="single" w:color="CCCCCC" w:sz="1"/>
              <w:bottom w:val="single" w:color="CCCCCC" w:sz="1"/>
              <w:right w:val="single" w:color="CCCCCC" w:sz="1"/>
            </w:tcBorders>
          </w:tcPr>
          <w:p>
            <w:r>
              <w:rPr>
                <w:b/>
                <w:bCs/>
              </w:rPr>
              <w:t xml:space="preserve">Gift Card</w:t>
            </w:r>
          </w:p>
        </w:tc>
        <w:tc>
          <w:tcPr>
            <w:tcW w:type="dxa" w:w="2340"/>
            <w:tcBorders>
              <w:top w:val="single" w:color="CCCCCC" w:sz="1"/>
              <w:left w:val="single" w:color="CCCCCC" w:sz="1"/>
              <w:bottom w:val="single" w:color="CCCCCC" w:sz="1"/>
              <w:right w:val="single" w:color="CCCCCC" w:sz="1"/>
            </w:tcBorders>
          </w:tcPr>
          <w:p>
            <w:r>
              <w:t xml:space="preserve">Rewards, incentives</w:t>
            </w:r>
          </w:p>
        </w:tc>
        <w:tc>
          <w:tcPr>
            <w:tcW w:type="dxa" w:w="2340"/>
            <w:tcBorders>
              <w:top w:val="single" w:color="CCCCCC" w:sz="1"/>
              <w:left w:val="single" w:color="CCCCCC" w:sz="1"/>
              <w:bottom w:val="single" w:color="CCCCCC" w:sz="1"/>
              <w:right w:val="single" w:color="CCCCCC" w:sz="1"/>
            </w:tcBorders>
          </w:tcPr>
          <w:p>
            <w:r>
              <w:t xml:space="preserve">Optional</w:t>
            </w:r>
          </w:p>
        </w:tc>
        <w:tc>
          <w:tcPr>
            <w:tcW w:type="dxa" w:w="2340"/>
            <w:tcBorders>
              <w:top w:val="single" w:color="CCCCCC" w:sz="1"/>
              <w:left w:val="single" w:color="CCCCCC" w:sz="1"/>
              <w:bottom w:val="single" w:color="CCCCCC" w:sz="1"/>
              <w:right w:val="single" w:color="CCCCCC" w:sz="1"/>
            </w:tcBorders>
          </w:tcPr>
          <w:p>
            <w:r>
              <w:t xml:space="preserve">Non-reloadable, branded</w:t>
            </w:r>
          </w:p>
        </w:tc>
      </w:tr>
    </w:tbl>
    <w:p>
      <w:r>
        <w:br w:type="page"/>
      </w:r>
    </w:p>
    <w:p>
      <w:pPr>
        <w:pStyle w:val="Heading1"/>
      </w:pPr>
      <w:r>
        <w:t xml:space="preserve">6. Functional Requirements</w:t>
      </w:r>
    </w:p>
    <w:p>
      <w:pPr>
        <w:pStyle w:val="Heading2"/>
      </w:pPr>
      <w:r>
        <w:t xml:space="preserve">6.1 Authentication &amp; Authorization</w:t>
      </w:r>
    </w:p>
    <w:p>
      <w:pPr>
        <w:pStyle w:val="Heading3"/>
      </w:pPr>
      <w:r>
        <w:t xml:space="preserve">FR-1.1 Multi-factor Authentication</w:t>
      </w:r>
    </w:p>
    <w:p>
      <w:pPr>
        <w:pStyle w:val="ListParagraph"/>
        <w:numPr>
          <w:ilvl w:val="0"/>
          <w:numId w:val="2"/>
        </w:numPr>
      </w:pPr>
      <w:r>
        <w:t xml:space="preserve">Support SSO via SAML 2.0 and OIDC for enterprise customers</w:t>
      </w:r>
    </w:p>
    <w:p>
      <w:pPr>
        <w:pStyle w:val="ListParagraph"/>
        <w:numPr>
          <w:ilvl w:val="0"/>
          <w:numId w:val="2"/>
        </w:numPr>
      </w:pPr>
      <w:r>
        <w:t xml:space="preserve">Mandatory MFA using TOTP, SMS, or hardware keys (FIDO2)</w:t>
      </w:r>
    </w:p>
    <w:p>
      <w:pPr>
        <w:pStyle w:val="ListParagraph"/>
        <w:numPr>
          <w:ilvl w:val="0"/>
          <w:numId w:val="2"/>
        </w:numPr>
      </w:pPr>
      <w:r>
        <w:t xml:space="preserve">Session management with configurable timeout (default 30 min)</w:t>
      </w:r>
    </w:p>
    <w:p>
      <w:pPr>
        <w:pStyle w:val="Heading3"/>
      </w:pPr>
      <w:r>
        <w:t xml:space="preserve">FR-1.2 Role-Based Access Control (RBAC)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Role</w:t>
            </w:r>
          </w:p>
        </w:tc>
        <w:tc>
          <w:tcPr>
            <w:tcW w:type="dxa" w:w="7020"/>
            <w:tcBorders>
              <w:top w:val="single" w:color="CCCCCC" w:sz="1"/>
              <w:left w:val="single" w:color="CCCCCC" w:sz="1"/>
              <w:bottom w:val="single" w:color="CCCCCC" w:sz="1"/>
              <w:right w:val="single" w:color="CCCCCC" w:sz="1"/>
            </w:tcBorders>
            <w:shd w:fill="2c5282" w:val="clear"/>
          </w:tcPr>
          <w:p>
            <w:r>
              <w:rPr>
                <w:b/>
                <w:bCs/>
                <w:color w:val="FFFFFF"/>
              </w:rPr>
              <w:t xml:space="preserve">Permissions</w:t>
            </w:r>
          </w:p>
        </w:tc>
      </w:tr>
      <w:tr>
        <w:tc>
          <w:tcPr>
            <w:tcW w:type="dxa" w:w="2340"/>
            <w:tcBorders>
              <w:top w:val="single" w:color="CCCCCC" w:sz="1"/>
              <w:left w:val="single" w:color="CCCCCC" w:sz="1"/>
              <w:bottom w:val="single" w:color="CCCCCC" w:sz="1"/>
              <w:right w:val="single" w:color="CCCCCC" w:sz="1"/>
            </w:tcBorders>
          </w:tcPr>
          <w:p>
            <w:r>
              <w:t xml:space="preserve">Super Admin</w:t>
            </w:r>
          </w:p>
        </w:tc>
        <w:tc>
          <w:tcPr>
            <w:tcW w:type="dxa" w:w="7020"/>
            <w:tcBorders>
              <w:top w:val="single" w:color="CCCCCC" w:sz="1"/>
              <w:left w:val="single" w:color="CCCCCC" w:sz="1"/>
              <w:bottom w:val="single" w:color="CCCCCC" w:sz="1"/>
              <w:right w:val="single" w:color="CCCCCC" w:sz="1"/>
            </w:tcBorders>
          </w:tcPr>
          <w:p>
            <w:r>
              <w:t xml:space="preserve">Full access: create/edit/delete programs, manage users, view all data, approve changes</w:t>
            </w:r>
          </w:p>
        </w:tc>
      </w:tr>
      <w:tr>
        <w:tc>
          <w:tcPr>
            <w:tcW w:type="dxa" w:w="2340"/>
            <w:tcBorders>
              <w:top w:val="single" w:color="CCCCCC" w:sz="1"/>
              <w:left w:val="single" w:color="CCCCCC" w:sz="1"/>
              <w:bottom w:val="single" w:color="CCCCCC" w:sz="1"/>
              <w:right w:val="single" w:color="CCCCCC" w:sz="1"/>
            </w:tcBorders>
          </w:tcPr>
          <w:p>
            <w:r>
              <w:t xml:space="preserve">Program Manager</w:t>
            </w:r>
          </w:p>
        </w:tc>
        <w:tc>
          <w:tcPr>
            <w:tcW w:type="dxa" w:w="7020"/>
            <w:tcBorders>
              <w:top w:val="single" w:color="CCCCCC" w:sz="1"/>
              <w:left w:val="single" w:color="CCCCCC" w:sz="1"/>
              <w:bottom w:val="single" w:color="CCCCCC" w:sz="1"/>
              <w:right w:val="single" w:color="CCCCCC" w:sz="1"/>
            </w:tcBorders>
          </w:tcPr>
          <w:p>
            <w:r>
              <w:t xml:space="preserve">Create/edit assigned programs, issue cards, view transactions, manage cardholders</w:t>
            </w:r>
          </w:p>
        </w:tc>
      </w:tr>
      <w:tr>
        <w:tc>
          <w:tcPr>
            <w:tcW w:type="dxa" w:w="2340"/>
            <w:tcBorders>
              <w:top w:val="single" w:color="CCCCCC" w:sz="1"/>
              <w:left w:val="single" w:color="CCCCCC" w:sz="1"/>
              <w:bottom w:val="single" w:color="CCCCCC" w:sz="1"/>
              <w:right w:val="single" w:color="CCCCCC" w:sz="1"/>
            </w:tcBorders>
          </w:tcPr>
          <w:p>
            <w:r>
              <w:t xml:space="preserve">Compliance</w:t>
            </w:r>
          </w:p>
        </w:tc>
        <w:tc>
          <w:tcPr>
            <w:tcW w:type="dxa" w:w="7020"/>
            <w:tcBorders>
              <w:top w:val="single" w:color="CCCCCC" w:sz="1"/>
              <w:left w:val="single" w:color="CCCCCC" w:sz="1"/>
              <w:bottom w:val="single" w:color="CCCCCC" w:sz="1"/>
              <w:right w:val="single" w:color="CCCCCC" w:sz="1"/>
            </w:tcBorders>
          </w:tcPr>
          <w:p>
            <w:r>
              <w:t xml:space="preserve">View-only access to all programs, full audit logs, export capabilities, alert configuration</w:t>
            </w:r>
          </w:p>
        </w:tc>
      </w:tr>
      <w:tr>
        <w:tc>
          <w:tcPr>
            <w:tcW w:type="dxa" w:w="2340"/>
            <w:tcBorders>
              <w:top w:val="single" w:color="CCCCCC" w:sz="1"/>
              <w:left w:val="single" w:color="CCCCCC" w:sz="1"/>
              <w:bottom w:val="single" w:color="CCCCCC" w:sz="1"/>
              <w:right w:val="single" w:color="CCCCCC" w:sz="1"/>
            </w:tcBorders>
          </w:tcPr>
          <w:p>
            <w:r>
              <w:t xml:space="preserve">Finance</w:t>
            </w:r>
          </w:p>
        </w:tc>
        <w:tc>
          <w:tcPr>
            <w:tcW w:type="dxa" w:w="7020"/>
            <w:tcBorders>
              <w:top w:val="single" w:color="CCCCCC" w:sz="1"/>
              <w:left w:val="single" w:color="CCCCCC" w:sz="1"/>
              <w:bottom w:val="single" w:color="CCCCCC" w:sz="1"/>
              <w:right w:val="single" w:color="CCCCCC" w:sz="1"/>
            </w:tcBorders>
          </w:tcPr>
          <w:p>
            <w:r>
              <w:t xml:space="preserve">View transactions, generate reports, manage funding, reconciliation tools</w:t>
            </w:r>
          </w:p>
        </w:tc>
      </w:tr>
      <w:tr>
        <w:tc>
          <w:tcPr>
            <w:tcW w:type="dxa" w:w="2340"/>
            <w:tcBorders>
              <w:top w:val="single" w:color="CCCCCC" w:sz="1"/>
              <w:left w:val="single" w:color="CCCCCC" w:sz="1"/>
              <w:bottom w:val="single" w:color="CCCCCC" w:sz="1"/>
              <w:right w:val="single" w:color="CCCCCC" w:sz="1"/>
            </w:tcBorders>
          </w:tcPr>
          <w:p>
            <w:r>
              <w:t xml:space="preserve">Developer</w:t>
            </w:r>
          </w:p>
        </w:tc>
        <w:tc>
          <w:tcPr>
            <w:tcW w:type="dxa" w:w="7020"/>
            <w:tcBorders>
              <w:top w:val="single" w:color="CCCCCC" w:sz="1"/>
              <w:left w:val="single" w:color="CCCCCC" w:sz="1"/>
              <w:bottom w:val="single" w:color="CCCCCC" w:sz="1"/>
              <w:right w:val="single" w:color="CCCCCC" w:sz="1"/>
            </w:tcBorders>
          </w:tcPr>
          <w:p>
            <w:r>
              <w:t xml:space="preserve">API key management, webhook configuration, sandbox access, technical logs</w:t>
            </w:r>
          </w:p>
        </w:tc>
      </w:tr>
    </w:tbl>
    <w:p>
      <w:pPr>
        <w:pStyle w:val="Heading2"/>
      </w:pPr>
      <w:r>
        <w:t xml:space="preserve">6.2 Card Program Configuration</w:t>
      </w:r>
    </w:p>
    <w:p>
      <w:pPr>
        <w:pStyle w:val="Heading3"/>
      </w:pPr>
      <w:r>
        <w:t xml:space="preserve">FR-2.1 Program Creation Wizard</w:t>
      </w:r>
    </w:p>
    <w:p>
      <w:pPr>
        <w:spacing w:after="100"/>
      </w:pPr>
      <w:r>
        <w:t xml:space="preserve">Step-by-step guided flow for creating new card programs:</w:t>
      </w:r>
    </w:p>
    <w:p>
      <w:pPr>
        <w:pStyle w:val="ListParagraph"/>
        <w:numPr>
          <w:ilvl w:val="0"/>
          <w:numId w:val="4"/>
        </w:numPr>
      </w:pPr>
      <w:r>
        <w:rPr>
          <w:b/>
          <w:bCs/>
        </w:rPr>
        <w:t xml:space="preserve">Program Basics: </w:t>
      </w:r>
      <w:r>
        <w:t xml:space="preserve">Name, description, internal code, program type selection</w:t>
      </w:r>
    </w:p>
    <w:p>
      <w:pPr>
        <w:pStyle w:val="ListParagraph"/>
        <w:numPr>
          <w:ilvl w:val="0"/>
          <w:numId w:val="4"/>
        </w:numPr>
      </w:pPr>
      <w:r>
        <w:rPr>
          <w:b/>
          <w:bCs/>
        </w:rPr>
        <w:t xml:space="preserve">Card Configuration: </w:t>
      </w:r>
      <w:r>
        <w:t xml:space="preserve">Funding model, form factor, scheme (Visa/Mastercard), BIN assignment</w:t>
      </w:r>
    </w:p>
    <w:p>
      <w:pPr>
        <w:pStyle w:val="ListParagraph"/>
        <w:numPr>
          <w:ilvl w:val="0"/>
          <w:numId w:val="4"/>
        </w:numPr>
      </w:pPr>
      <w:r>
        <w:rPr>
          <w:b/>
          <w:bCs/>
        </w:rPr>
        <w:t xml:space="preserve">Spend Controls: </w:t>
      </w:r>
      <w:r>
        <w:t xml:space="preserve">Transaction limits, MCC restrictions, velocity controls, geographic limits</w:t>
      </w:r>
    </w:p>
    <w:p>
      <w:pPr>
        <w:pStyle w:val="ListParagraph"/>
        <w:numPr>
          <w:ilvl w:val="0"/>
          <w:numId w:val="4"/>
        </w:numPr>
      </w:pPr>
      <w:r>
        <w:rPr>
          <w:b/>
          <w:bCs/>
        </w:rPr>
        <w:t xml:space="preserve">Card Design: </w:t>
      </w:r>
      <w:r>
        <w:t xml:space="preserve">Upload artwork, preview rendering, select personalization options</w:t>
      </w:r>
    </w:p>
    <w:p>
      <w:pPr>
        <w:pStyle w:val="ListParagraph"/>
        <w:numPr>
          <w:ilvl w:val="0"/>
          <w:numId w:val="4"/>
        </w:numPr>
      </w:pPr>
      <w:r>
        <w:rPr>
          <w:b/>
          <w:bCs/>
        </w:rPr>
        <w:t xml:space="preserve">Compliance Settings: </w:t>
      </w:r>
      <w:r>
        <w:t xml:space="preserve">KYC requirements, 3DS preferences, fraud rules</w:t>
      </w:r>
    </w:p>
    <w:p>
      <w:pPr>
        <w:pStyle w:val="ListParagraph"/>
        <w:numPr>
          <w:ilvl w:val="0"/>
          <w:numId w:val="4"/>
        </w:numPr>
      </w:pPr>
      <w:r>
        <w:rPr>
          <w:b/>
          <w:bCs/>
        </w:rPr>
        <w:t xml:space="preserve">Review &amp; Launch: </w:t>
      </w:r>
      <w:r>
        <w:t xml:space="preserve">Summary, compliance check, approval workflow trigger</w:t>
      </w:r>
    </w:p>
    <w:p>
      <w:pPr>
        <w:pStyle w:val="Heading3"/>
      </w:pPr>
      <w:r>
        <w:t xml:space="preserve">FR-2.2 Spend Control Engine</w:t>
      </w:r>
    </w:p>
    <w:p>
      <w:pPr>
        <w:pStyle w:val="ListParagraph"/>
        <w:numPr>
          <w:ilvl w:val="0"/>
          <w:numId w:val="2"/>
        </w:numPr>
      </w:pPr>
      <w:r>
        <w:rPr>
          <w:b/>
          <w:bCs/>
        </w:rPr>
        <w:t xml:space="preserve">Transaction Limits: </w:t>
      </w:r>
      <w:r>
        <w:t xml:space="preserve">Per-transaction, daily, weekly, monthly caps</w:t>
      </w:r>
    </w:p>
    <w:p>
      <w:pPr>
        <w:pStyle w:val="ListParagraph"/>
        <w:numPr>
          <w:ilvl w:val="0"/>
          <w:numId w:val="2"/>
        </w:numPr>
      </w:pPr>
      <w:r>
        <w:rPr>
          <w:b/>
          <w:bCs/>
        </w:rPr>
        <w:t xml:space="preserve">MCC Controls: </w:t>
      </w:r>
      <w:r>
        <w:t xml:space="preserve">Whitelist/blacklist merchant category codes with inheritance from program to card</w:t>
      </w:r>
    </w:p>
    <w:p>
      <w:pPr>
        <w:pStyle w:val="ListParagraph"/>
        <w:numPr>
          <w:ilvl w:val="0"/>
          <w:numId w:val="2"/>
        </w:numPr>
      </w:pPr>
      <w:r>
        <w:rPr>
          <w:b/>
          <w:bCs/>
        </w:rPr>
        <w:t xml:space="preserve">Velocity Rules: </w:t>
      </w:r>
      <w:r>
        <w:t xml:space="preserve">Max transactions per time window, cooldown periods</w:t>
      </w:r>
    </w:p>
    <w:p>
      <w:pPr>
        <w:pStyle w:val="ListParagraph"/>
        <w:numPr>
          <w:ilvl w:val="0"/>
          <w:numId w:val="2"/>
        </w:numPr>
      </w:pPr>
      <w:r>
        <w:rPr>
          <w:b/>
          <w:bCs/>
        </w:rPr>
        <w:t xml:space="preserve">Geographic Controls: </w:t>
      </w:r>
      <w:r>
        <w:t xml:space="preserve">Country whitelist/blacklist, domestic-only options</w:t>
      </w:r>
    </w:p>
    <w:p>
      <w:pPr>
        <w:pStyle w:val="ListParagraph"/>
        <w:numPr>
          <w:ilvl w:val="0"/>
          <w:numId w:val="2"/>
        </w:numPr>
      </w:pPr>
      <w:r>
        <w:rPr>
          <w:b/>
          <w:bCs/>
        </w:rPr>
        <w:t xml:space="preserve">Time-Based Rules: </w:t>
      </w:r>
      <w:r>
        <w:t xml:space="preserve">Active hours, day-of-week restrictions</w:t>
      </w:r>
    </w:p>
    <w:p>
      <w:pPr>
        <w:pStyle w:val="Heading2"/>
      </w:pPr>
      <w:r>
        <w:t xml:space="preserve">6.3 Card Lifecycle Management</w:t>
      </w:r>
    </w:p>
    <w:p>
      <w:pPr>
        <w:pStyle w:val="ListParagraph"/>
        <w:numPr>
          <w:ilvl w:val="0"/>
          <w:numId w:val="2"/>
        </w:numPr>
      </w:pPr>
      <w:r>
        <w:rPr>
          <w:b/>
          <w:bCs/>
        </w:rPr>
        <w:t xml:space="preserve">Issuance: </w:t>
      </w:r>
      <w:r>
        <w:t xml:space="preserve">Instant virtual card creation, physical card ordering with tracking</w:t>
      </w:r>
    </w:p>
    <w:p>
      <w:pPr>
        <w:pStyle w:val="ListParagraph"/>
        <w:numPr>
          <w:ilvl w:val="0"/>
          <w:numId w:val="2"/>
        </w:numPr>
      </w:pPr>
      <w:r>
        <w:rPr>
          <w:b/>
          <w:bCs/>
        </w:rPr>
        <w:t xml:space="preserve">Activation: </w:t>
      </w:r>
      <w:r>
        <w:t xml:space="preserve">Self-service via app/portal, call center activation, auto-activation options</w:t>
      </w:r>
    </w:p>
    <w:p>
      <w:pPr>
        <w:pStyle w:val="ListParagraph"/>
        <w:numPr>
          <w:ilvl w:val="0"/>
          <w:numId w:val="2"/>
        </w:numPr>
      </w:pPr>
      <w:r>
        <w:rPr>
          <w:b/>
          <w:bCs/>
        </w:rPr>
        <w:t xml:space="preserve">PIN Management: </w:t>
      </w:r>
      <w:r>
        <w:t xml:space="preserve">Set PIN, change PIN, PIN unblock, PIN reveal (virtual)</w:t>
      </w:r>
    </w:p>
    <w:p>
      <w:pPr>
        <w:pStyle w:val="ListParagraph"/>
        <w:numPr>
          <w:ilvl w:val="0"/>
          <w:numId w:val="2"/>
        </w:numPr>
      </w:pPr>
      <w:r>
        <w:rPr>
          <w:b/>
          <w:bCs/>
        </w:rPr>
        <w:t xml:space="preserve">Card Controls: </w:t>
      </w:r>
      <w:r>
        <w:t xml:space="preserve">Temporary lock/unlock, permanent block, lost/stolen reporting</w:t>
      </w:r>
    </w:p>
    <w:p>
      <w:pPr>
        <w:pStyle w:val="ListParagraph"/>
        <w:numPr>
          <w:ilvl w:val="0"/>
          <w:numId w:val="2"/>
        </w:numPr>
      </w:pPr>
      <w:r>
        <w:rPr>
          <w:b/>
          <w:bCs/>
        </w:rPr>
        <w:t xml:space="preserve">Replacement: </w:t>
      </w:r>
      <w:r>
        <w:t xml:space="preserve">Damaged card replacement, expiry renewal, upgrade paths</w:t>
      </w:r>
    </w:p>
    <w:p>
      <w:pPr>
        <w:pStyle w:val="ListParagraph"/>
        <w:numPr>
          <w:ilvl w:val="0"/>
          <w:numId w:val="2"/>
        </w:numPr>
      </w:pPr>
      <w:r>
        <w:rPr>
          <w:b/>
          <w:bCs/>
        </w:rPr>
        <w:t xml:space="preserve">Closure: </w:t>
      </w:r>
      <w:r>
        <w:t xml:space="preserve">Graceful deactivation, balance handling, compliance archival</w:t>
      </w:r>
    </w:p>
    <w:p>
      <w:r>
        <w:br w:type="page"/>
      </w:r>
    </w:p>
    <w:p>
      <w:pPr>
        <w:pStyle w:val="Heading1"/>
      </w:pPr>
      <w:r>
        <w:t xml:space="preserve">7. API Specification Overview</w:t>
      </w:r>
    </w:p>
    <w:p>
      <w:pPr>
        <w:spacing w:after="200"/>
      </w:pPr>
      <w:r>
        <w:t xml:space="preserve">The Configuration API follows REST principles with JSON payloads. All endpoints require authentication via API keys or OAuth 2.0 tokens.</w:t>
      </w:r>
    </w:p>
    <w:p>
      <w:pPr>
        <w:pStyle w:val="Heading2"/>
      </w:pPr>
      <w:r>
        <w:t xml:space="preserve">7.1 Core Resources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Resource</w:t>
            </w:r>
          </w:p>
        </w:tc>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Base Path</w:t>
            </w:r>
          </w:p>
        </w:tc>
        <w:tc>
          <w:tcPr>
            <w:tcW w:type="dxa" w:w="4360"/>
            <w:tcBorders>
              <w:top w:val="single" w:color="CCCCCC" w:sz="1"/>
              <w:left w:val="single" w:color="CCCCCC" w:sz="1"/>
              <w:bottom w:val="single" w:color="CCCCCC" w:sz="1"/>
              <w:right w:val="single" w:color="CCCCCC" w:sz="1"/>
            </w:tcBorders>
            <w:shd w:fill="2c5282" w:val="clear"/>
          </w:tcPr>
          <w:p>
            <w:r>
              <w:rPr>
                <w:b/>
                <w:bCs/>
                <w:color w:val="FFFFFF"/>
              </w:rPr>
              <w:t xml:space="preserve">Operations</w:t>
            </w:r>
          </w:p>
        </w:tc>
      </w:tr>
      <w:tr>
        <w:tc>
          <w:tcPr>
            <w:tcW w:type="dxa" w:w="2500"/>
            <w:tcBorders>
              <w:top w:val="single" w:color="CCCCCC" w:sz="1"/>
              <w:left w:val="single" w:color="CCCCCC" w:sz="1"/>
              <w:bottom w:val="single" w:color="CCCCCC" w:sz="1"/>
              <w:right w:val="single" w:color="CCCCCC" w:sz="1"/>
            </w:tcBorders>
          </w:tcPr>
          <w:p>
            <w:r>
              <w:t xml:space="preserve">Programs</w:t>
            </w:r>
          </w:p>
        </w:tc>
        <w:tc>
          <w:tcPr>
            <w:tcW w:type="dxa" w:w="2500"/>
            <w:tcBorders>
              <w:top w:val="single" w:color="CCCCCC" w:sz="1"/>
              <w:left w:val="single" w:color="CCCCCC" w:sz="1"/>
              <w:bottom w:val="single" w:color="CCCCCC" w:sz="1"/>
              <w:right w:val="single" w:color="CCCCCC" w:sz="1"/>
            </w:tcBorders>
          </w:tcPr>
          <w:p>
            <w:r>
              <w:t xml:space="preserve">/v1/programs</w:t>
            </w:r>
          </w:p>
        </w:tc>
        <w:tc>
          <w:tcPr>
            <w:tcW w:type="dxa" w:w="4360"/>
            <w:tcBorders>
              <w:top w:val="single" w:color="CCCCCC" w:sz="1"/>
              <w:left w:val="single" w:color="CCCCCC" w:sz="1"/>
              <w:bottom w:val="single" w:color="CCCCCC" w:sz="1"/>
              <w:right w:val="single" w:color="CCCCCC" w:sz="1"/>
            </w:tcBorders>
          </w:tcPr>
          <w:p>
            <w:r>
              <w:t xml:space="preserve">CRUD, activate, suspend, clone</w:t>
            </w:r>
          </w:p>
        </w:tc>
      </w:tr>
      <w:tr>
        <w:tc>
          <w:tcPr>
            <w:tcW w:type="dxa" w:w="2500"/>
            <w:tcBorders>
              <w:top w:val="single" w:color="CCCCCC" w:sz="1"/>
              <w:left w:val="single" w:color="CCCCCC" w:sz="1"/>
              <w:bottom w:val="single" w:color="CCCCCC" w:sz="1"/>
              <w:right w:val="single" w:color="CCCCCC" w:sz="1"/>
            </w:tcBorders>
          </w:tcPr>
          <w:p>
            <w:r>
              <w:t xml:space="preserve">Cards</w:t>
            </w:r>
          </w:p>
        </w:tc>
        <w:tc>
          <w:tcPr>
            <w:tcW w:type="dxa" w:w="2500"/>
            <w:tcBorders>
              <w:top w:val="single" w:color="CCCCCC" w:sz="1"/>
              <w:left w:val="single" w:color="CCCCCC" w:sz="1"/>
              <w:bottom w:val="single" w:color="CCCCCC" w:sz="1"/>
              <w:right w:val="single" w:color="CCCCCC" w:sz="1"/>
            </w:tcBorders>
          </w:tcPr>
          <w:p>
            <w:r>
              <w:t xml:space="preserve">/v1/cards</w:t>
            </w:r>
          </w:p>
        </w:tc>
        <w:tc>
          <w:tcPr>
            <w:tcW w:type="dxa" w:w="4360"/>
            <w:tcBorders>
              <w:top w:val="single" w:color="CCCCCC" w:sz="1"/>
              <w:left w:val="single" w:color="CCCCCC" w:sz="1"/>
              <w:bottom w:val="single" w:color="CCCCCC" w:sz="1"/>
              <w:right w:val="single" w:color="CCCCCC" w:sz="1"/>
            </w:tcBorders>
          </w:tcPr>
          <w:p>
            <w:r>
              <w:t xml:space="preserve">Issue, activate, lock, replace, close</w:t>
            </w:r>
          </w:p>
        </w:tc>
      </w:tr>
      <w:tr>
        <w:tc>
          <w:tcPr>
            <w:tcW w:type="dxa" w:w="2500"/>
            <w:tcBorders>
              <w:top w:val="single" w:color="CCCCCC" w:sz="1"/>
              <w:left w:val="single" w:color="CCCCCC" w:sz="1"/>
              <w:bottom w:val="single" w:color="CCCCCC" w:sz="1"/>
              <w:right w:val="single" w:color="CCCCCC" w:sz="1"/>
            </w:tcBorders>
          </w:tcPr>
          <w:p>
            <w:r>
              <w:t xml:space="preserve">Cardholders</w:t>
            </w:r>
          </w:p>
        </w:tc>
        <w:tc>
          <w:tcPr>
            <w:tcW w:type="dxa" w:w="2500"/>
            <w:tcBorders>
              <w:top w:val="single" w:color="CCCCCC" w:sz="1"/>
              <w:left w:val="single" w:color="CCCCCC" w:sz="1"/>
              <w:bottom w:val="single" w:color="CCCCCC" w:sz="1"/>
              <w:right w:val="single" w:color="CCCCCC" w:sz="1"/>
            </w:tcBorders>
          </w:tcPr>
          <w:p>
            <w:r>
              <w:t xml:space="preserve">/v1/cardholders</w:t>
            </w:r>
          </w:p>
        </w:tc>
        <w:tc>
          <w:tcPr>
            <w:tcW w:type="dxa" w:w="4360"/>
            <w:tcBorders>
              <w:top w:val="single" w:color="CCCCCC" w:sz="1"/>
              <w:left w:val="single" w:color="CCCCCC" w:sz="1"/>
              <w:bottom w:val="single" w:color="CCCCCC" w:sz="1"/>
              <w:right w:val="single" w:color="CCCCCC" w:sz="1"/>
            </w:tcBorders>
          </w:tcPr>
          <w:p>
            <w:r>
              <w:t xml:space="preserve">CRUD, KYC status, link cards</w:t>
            </w:r>
          </w:p>
        </w:tc>
      </w:tr>
      <w:tr>
        <w:tc>
          <w:tcPr>
            <w:tcW w:type="dxa" w:w="2500"/>
            <w:tcBorders>
              <w:top w:val="single" w:color="CCCCCC" w:sz="1"/>
              <w:left w:val="single" w:color="CCCCCC" w:sz="1"/>
              <w:bottom w:val="single" w:color="CCCCCC" w:sz="1"/>
              <w:right w:val="single" w:color="CCCCCC" w:sz="1"/>
            </w:tcBorders>
          </w:tcPr>
          <w:p>
            <w:r>
              <w:t xml:space="preserve">Transactions</w:t>
            </w:r>
          </w:p>
        </w:tc>
        <w:tc>
          <w:tcPr>
            <w:tcW w:type="dxa" w:w="2500"/>
            <w:tcBorders>
              <w:top w:val="single" w:color="CCCCCC" w:sz="1"/>
              <w:left w:val="single" w:color="CCCCCC" w:sz="1"/>
              <w:bottom w:val="single" w:color="CCCCCC" w:sz="1"/>
              <w:right w:val="single" w:color="CCCCCC" w:sz="1"/>
            </w:tcBorders>
          </w:tcPr>
          <w:p>
            <w:r>
              <w:t xml:space="preserve">/v1/transactions</w:t>
            </w:r>
          </w:p>
        </w:tc>
        <w:tc>
          <w:tcPr>
            <w:tcW w:type="dxa" w:w="4360"/>
            <w:tcBorders>
              <w:top w:val="single" w:color="CCCCCC" w:sz="1"/>
              <w:left w:val="single" w:color="CCCCCC" w:sz="1"/>
              <w:bottom w:val="single" w:color="CCCCCC" w:sz="1"/>
              <w:right w:val="single" w:color="CCCCCC" w:sz="1"/>
            </w:tcBorders>
          </w:tcPr>
          <w:p>
            <w:r>
              <w:t xml:space="preserve">List, filter, export, dispute</w:t>
            </w:r>
          </w:p>
        </w:tc>
      </w:tr>
      <w:tr>
        <w:tc>
          <w:tcPr>
            <w:tcW w:type="dxa" w:w="2500"/>
            <w:tcBorders>
              <w:top w:val="single" w:color="CCCCCC" w:sz="1"/>
              <w:left w:val="single" w:color="CCCCCC" w:sz="1"/>
              <w:bottom w:val="single" w:color="CCCCCC" w:sz="1"/>
              <w:right w:val="single" w:color="CCCCCC" w:sz="1"/>
            </w:tcBorders>
          </w:tcPr>
          <w:p>
            <w:r>
              <w:t xml:space="preserve">Spend Controls</w:t>
            </w:r>
          </w:p>
        </w:tc>
        <w:tc>
          <w:tcPr>
            <w:tcW w:type="dxa" w:w="2500"/>
            <w:tcBorders>
              <w:top w:val="single" w:color="CCCCCC" w:sz="1"/>
              <w:left w:val="single" w:color="CCCCCC" w:sz="1"/>
              <w:bottom w:val="single" w:color="CCCCCC" w:sz="1"/>
              <w:right w:val="single" w:color="CCCCCC" w:sz="1"/>
            </w:tcBorders>
          </w:tcPr>
          <w:p>
            <w:r>
              <w:t xml:space="preserve">/v1/controls</w:t>
            </w:r>
          </w:p>
        </w:tc>
        <w:tc>
          <w:tcPr>
            <w:tcW w:type="dxa" w:w="4360"/>
            <w:tcBorders>
              <w:top w:val="single" w:color="CCCCCC" w:sz="1"/>
              <w:left w:val="single" w:color="CCCCCC" w:sz="1"/>
              <w:bottom w:val="single" w:color="CCCCCC" w:sz="1"/>
              <w:right w:val="single" w:color="CCCCCC" w:sz="1"/>
            </w:tcBorders>
          </w:tcPr>
          <w:p>
            <w:r>
              <w:t xml:space="preserve">CRUD limits, MCC rules, velocity</w:t>
            </w:r>
          </w:p>
        </w:tc>
      </w:tr>
      <w:tr>
        <w:tc>
          <w:tcPr>
            <w:tcW w:type="dxa" w:w="2500"/>
            <w:tcBorders>
              <w:top w:val="single" w:color="CCCCCC" w:sz="1"/>
              <w:left w:val="single" w:color="CCCCCC" w:sz="1"/>
              <w:bottom w:val="single" w:color="CCCCCC" w:sz="1"/>
              <w:right w:val="single" w:color="CCCCCC" w:sz="1"/>
            </w:tcBorders>
          </w:tcPr>
          <w:p>
            <w:r>
              <w:t xml:space="preserve">Webhooks</w:t>
            </w:r>
          </w:p>
        </w:tc>
        <w:tc>
          <w:tcPr>
            <w:tcW w:type="dxa" w:w="2500"/>
            <w:tcBorders>
              <w:top w:val="single" w:color="CCCCCC" w:sz="1"/>
              <w:left w:val="single" w:color="CCCCCC" w:sz="1"/>
              <w:bottom w:val="single" w:color="CCCCCC" w:sz="1"/>
              <w:right w:val="single" w:color="CCCCCC" w:sz="1"/>
            </w:tcBorders>
          </w:tcPr>
          <w:p>
            <w:r>
              <w:t xml:space="preserve">/v1/webhooks</w:t>
            </w:r>
          </w:p>
        </w:tc>
        <w:tc>
          <w:tcPr>
            <w:tcW w:type="dxa" w:w="4360"/>
            <w:tcBorders>
              <w:top w:val="single" w:color="CCCCCC" w:sz="1"/>
              <w:left w:val="single" w:color="CCCCCC" w:sz="1"/>
              <w:bottom w:val="single" w:color="CCCCCC" w:sz="1"/>
              <w:right w:val="single" w:color="CCCCCC" w:sz="1"/>
            </w:tcBorders>
          </w:tcPr>
          <w:p>
            <w:r>
              <w:t xml:space="preserve">Subscribe, test, logs</w:t>
            </w:r>
          </w:p>
        </w:tc>
      </w:tr>
    </w:tbl>
    <w:p>
      <w:pPr>
        <w:pStyle w:val="Heading2"/>
      </w:pPr>
      <w:r>
        <w:t xml:space="preserve">7.2 Sample API Request - Create Program</w:t>
      </w:r>
    </w:p>
    <w:p>
      <w:pPr>
        <w:shd w:fill="F7FAFC" w:val="clear"/>
        <w:spacing w:before="100" w:after="100"/>
      </w:pPr>
      <w:r>
        <w:rPr>
          <w:rFonts w:ascii="Courier New" w:cs="Courier New" w:eastAsia="Courier New" w:hAnsi="Courier New"/>
          <w:sz w:val="20"/>
          <w:szCs w:val="20"/>
        </w:rPr>
        <w:t xml:space="preserve">POST /v1/programs</w:t>
      </w:r>
    </w:p>
    <w:p>
      <w:pPr>
        <w:shd w:fill="F7FAFC" w:val="clear"/>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"name": "UN Delegate Prepaid",</w:t>
      </w:r>
    </w:p>
    <w:p>
      <w:pPr>
        <w:shd w:fill="F7FAFC" w:val="clear"/>
      </w:pPr>
      <w:r>
        <w:rPr>
          <w:rFonts w:ascii="Courier New" w:cs="Courier New" w:eastAsia="Courier New" w:hAnsi="Courier New"/>
          <w:sz w:val="18"/>
          <w:szCs w:val="18"/>
        </w:rPr>
        <w:t xml:space="preserve">  "type": "PREPAID",</w:t>
      </w:r>
    </w:p>
    <w:p>
      <w:pPr>
        <w:shd w:fill="F7FAFC" w:val="clear"/>
      </w:pPr>
      <w:r>
        <w:rPr>
          <w:rFonts w:ascii="Courier New" w:cs="Courier New" w:eastAsia="Courier New" w:hAnsi="Courier New"/>
          <w:sz w:val="18"/>
          <w:szCs w:val="18"/>
        </w:rPr>
        <w:t xml:space="preserve">  "scheme": "VISA",</w:t>
      </w:r>
    </w:p>
    <w:p>
      <w:pPr>
        <w:shd w:fill="F7FAFC" w:val="clear"/>
      </w:pPr>
      <w:r>
        <w:rPr>
          <w:rFonts w:ascii="Courier New" w:cs="Courier New" w:eastAsia="Courier New" w:hAnsi="Courier New"/>
          <w:sz w:val="18"/>
          <w:szCs w:val="18"/>
        </w:rPr>
        <w:t xml:space="preserve">  "currency": "EUR",</w:t>
      </w:r>
    </w:p>
    <w:p>
      <w:pPr>
        <w:shd w:fill="F7FAFC" w:val="clear"/>
      </w:pPr>
      <w:r>
        <w:rPr>
          <w:rFonts w:ascii="Courier New" w:cs="Courier New" w:eastAsia="Courier New" w:hAnsi="Courier New"/>
          <w:sz w:val="18"/>
          <w:szCs w:val="18"/>
        </w:rPr>
        <w:t xml:space="preserve">  "form_factor": ["VIRTUAL", "PHYSICAL"],</w:t>
      </w:r>
    </w:p>
    <w:p>
      <w:pPr>
        <w:shd w:fill="F7FAFC" w:val="clear"/>
      </w:pPr>
      <w:r>
        <w:rPr>
          <w:rFonts w:ascii="Courier New" w:cs="Courier New" w:eastAsia="Courier New" w:hAnsi="Courier New"/>
          <w:sz w:val="18"/>
          <w:szCs w:val="18"/>
        </w:rPr>
        <w:t xml:space="preserve">  "spend_controls": {</w:t>
      </w:r>
    </w:p>
    <w:p>
      <w:pPr>
        <w:shd w:fill="F7FAFC" w:val="clear"/>
      </w:pPr>
      <w:r>
        <w:rPr>
          <w:rFonts w:ascii="Courier New" w:cs="Courier New" w:eastAsia="Courier New" w:hAnsi="Courier New"/>
          <w:sz w:val="18"/>
          <w:szCs w:val="18"/>
        </w:rPr>
        <w:t xml:space="preserve">    "daily_limit": 500,</w:t>
      </w:r>
    </w:p>
    <w:p>
      <w:pPr>
        <w:shd w:fill="F7FAFC" w:val="clear"/>
      </w:pPr>
      <w:r>
        <w:rPr>
          <w:rFonts w:ascii="Courier New" w:cs="Courier New" w:eastAsia="Courier New" w:hAnsi="Courier New"/>
          <w:sz w:val="18"/>
          <w:szCs w:val="18"/>
        </w:rPr>
        <w:t xml:space="preserve">    "monthly_limit": 5000,</w:t>
      </w:r>
    </w:p>
    <w:p>
      <w:pPr>
        <w:shd w:fill="F7FAFC" w:val="clear"/>
      </w:pPr>
      <w:r>
        <w:rPr>
          <w:rFonts w:ascii="Courier New" w:cs="Courier New" w:eastAsia="Courier New" w:hAnsi="Courier New"/>
          <w:sz w:val="18"/>
          <w:szCs w:val="18"/>
        </w:rPr>
        <w:t xml:space="preserve">    "allowed_mcc": ["5812", "5814", "4111"]</w:t>
      </w:r>
    </w:p>
    <w:p>
      <w:pPr>
        <w:shd w:fill="F7FAFC" w:val="clear"/>
      </w:pPr>
      <w:r>
        <w:rPr>
          <w:rFonts w:ascii="Courier New" w:cs="Courier New" w:eastAsia="Courier New" w:hAnsi="Courier New"/>
          <w:sz w:val="18"/>
          <w:szCs w:val="18"/>
        </w:rPr>
        <w:t xml:space="preserve">  }</w:t>
      </w:r>
    </w:p>
    <w:p>
      <w:pPr>
        <w:shd w:fill="F7FAFC" w:val="clear"/>
        <w:spacing w:after="200"/>
      </w:pPr>
      <w:r>
        <w:rPr>
          <w:rFonts w:ascii="Courier New" w:cs="Courier New" w:eastAsia="Courier New" w:hAnsi="Courier New"/>
          <w:sz w:val="18"/>
          <w:szCs w:val="18"/>
        </w:rPr>
        <w:t xml:space="preserve">}</w:t>
      </w:r>
    </w:p>
    <w:p>
      <w:r>
        <w:br w:type="page"/>
      </w:r>
    </w:p>
    <w:p>
      <w:pPr>
        <w:pStyle w:val="Heading1"/>
      </w:pPr>
      <w:r>
        <w:t xml:space="preserve">8. Non-Functional Requirements</w:t>
      </w:r>
    </w:p>
    <w:p>
      <w:pPr>
        <w:pStyle w:val="Heading2"/>
      </w:pPr>
      <w:r>
        <w:t xml:space="preserve">8.1 Performance</w:t>
      </w:r>
    </w:p>
    <w:p>
      <w:pPr>
        <w:pStyle w:val="ListParagraph"/>
        <w:numPr>
          <w:ilvl w:val="0"/>
          <w:numId w:val="2"/>
        </w:numPr>
      </w:pPr>
      <w:r>
        <w:t xml:space="preserve">Portal page load time: &lt; 2 seconds (P95)</w:t>
      </w:r>
    </w:p>
    <w:p>
      <w:pPr>
        <w:pStyle w:val="ListParagraph"/>
        <w:numPr>
          <w:ilvl w:val="0"/>
          <w:numId w:val="2"/>
        </w:numPr>
      </w:pPr>
      <w:r>
        <w:t xml:space="preserve">API response time: &lt; 200ms (P95) for read operations</w:t>
      </w:r>
    </w:p>
    <w:p>
      <w:pPr>
        <w:pStyle w:val="ListParagraph"/>
        <w:numPr>
          <w:ilvl w:val="0"/>
          <w:numId w:val="2"/>
        </w:numPr>
      </w:pPr>
      <w:r>
        <w:t xml:space="preserve">API response time: &lt; 500ms (P95) for write operations</w:t>
      </w:r>
    </w:p>
    <w:p>
      <w:pPr>
        <w:pStyle w:val="ListParagraph"/>
        <w:numPr>
          <w:ilvl w:val="0"/>
          <w:numId w:val="2"/>
        </w:numPr>
      </w:pPr>
      <w:r>
        <w:t xml:space="preserve">Support 1000+ concurrent portal users</w:t>
      </w:r>
    </w:p>
    <w:p>
      <w:pPr>
        <w:pStyle w:val="ListParagraph"/>
        <w:numPr>
          <w:ilvl w:val="0"/>
          <w:numId w:val="2"/>
        </w:numPr>
      </w:pPr>
      <w:r>
        <w:t xml:space="preserve">API rate limit: 1000 requests/minute per customer</w:t>
      </w:r>
    </w:p>
    <w:p>
      <w:pPr>
        <w:pStyle w:val="Heading2"/>
      </w:pPr>
      <w:r>
        <w:t xml:space="preserve">8.2 Security &amp; Compliance</w:t>
      </w:r>
    </w:p>
    <w:p>
      <w:pPr>
        <w:pStyle w:val="ListParagraph"/>
        <w:numPr>
          <w:ilvl w:val="0"/>
          <w:numId w:val="2"/>
        </w:numPr>
      </w:pPr>
      <w:r>
        <w:t xml:space="preserve">PCI-DSS Level 1 compliance for all card data handling</w:t>
      </w:r>
    </w:p>
    <w:p>
      <w:pPr>
        <w:pStyle w:val="ListParagraph"/>
        <w:numPr>
          <w:ilvl w:val="0"/>
          <w:numId w:val="2"/>
        </w:numPr>
      </w:pPr>
      <w:r>
        <w:t xml:space="preserve">GDPR compliance for EU customer data</w:t>
      </w:r>
    </w:p>
    <w:p>
      <w:pPr>
        <w:pStyle w:val="ListParagraph"/>
        <w:numPr>
          <w:ilvl w:val="0"/>
          <w:numId w:val="2"/>
        </w:numPr>
      </w:pPr>
      <w:r>
        <w:t xml:space="preserve">SOC 2 Type II certification</w:t>
      </w:r>
    </w:p>
    <w:p>
      <w:pPr>
        <w:pStyle w:val="ListParagraph"/>
        <w:numPr>
          <w:ilvl w:val="0"/>
          <w:numId w:val="2"/>
        </w:numPr>
      </w:pPr>
      <w:r>
        <w:t xml:space="preserve">End-to-end encryption (TLS 1.3) for all communications</w:t>
      </w:r>
    </w:p>
    <w:p>
      <w:pPr>
        <w:pStyle w:val="ListParagraph"/>
        <w:numPr>
          <w:ilvl w:val="0"/>
          <w:numId w:val="2"/>
        </w:numPr>
      </w:pPr>
      <w:r>
        <w:t xml:space="preserve">API key rotation and expiration policies</w:t>
      </w:r>
    </w:p>
    <w:p>
      <w:pPr>
        <w:pStyle w:val="ListParagraph"/>
        <w:numPr>
          <w:ilvl w:val="0"/>
          <w:numId w:val="2"/>
        </w:numPr>
      </w:pPr>
      <w:r>
        <w:t xml:space="preserve">Complete audit trail with 7-year retention</w:t>
      </w:r>
    </w:p>
    <w:p>
      <w:pPr>
        <w:pStyle w:val="Heading2"/>
      </w:pPr>
      <w:r>
        <w:t xml:space="preserve">8.3 Availability</w:t>
      </w:r>
    </w:p>
    <w:p>
      <w:pPr>
        <w:pStyle w:val="ListParagraph"/>
        <w:numPr>
          <w:ilvl w:val="0"/>
          <w:numId w:val="2"/>
        </w:numPr>
      </w:pPr>
      <w:r>
        <w:t xml:space="preserve">99.95% uptime SLA for portal and API</w:t>
      </w:r>
    </w:p>
    <w:p>
      <w:pPr>
        <w:pStyle w:val="ListParagraph"/>
        <w:numPr>
          <w:ilvl w:val="0"/>
          <w:numId w:val="2"/>
        </w:numPr>
      </w:pPr>
      <w:r>
        <w:t xml:space="preserve">Planned maintenance windows: &lt; 4 hours/month</w:t>
      </w:r>
    </w:p>
    <w:p>
      <w:pPr>
        <w:pStyle w:val="ListParagraph"/>
        <w:numPr>
          <w:ilvl w:val="0"/>
          <w:numId w:val="2"/>
        </w:numPr>
      </w:pPr>
      <w:r>
        <w:t xml:space="preserve">Disaster recovery: RPO &lt; 1 hour, RTO &lt; 4 hours</w:t>
      </w:r>
    </w:p>
    <w:p>
      <w:pPr>
        <w:pStyle w:val="ListParagraph"/>
        <w:numPr>
          <w:ilvl w:val="0"/>
          <w:numId w:val="2"/>
        </w:numPr>
      </w:pPr>
      <w:r>
        <w:t xml:space="preserve">Multi-region deployment (EU primary, UK secondary)</w:t>
      </w:r>
    </w:p>
    <w:p>
      <w:pPr>
        <w:pStyle w:val="Heading1"/>
      </w:pPr>
      <w:r>
        <w:t xml:space="preserve">9. Roadmap &amp;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2c5282" w:val="clear"/>
          </w:tcPr>
          <w:p>
            <w:r>
              <w:rPr>
                <w:b/>
                <w:bCs/>
                <w:color w:val="FFFFFF"/>
              </w:rPr>
              <w:t xml:space="preserve">Phase</w:t>
            </w:r>
          </w:p>
        </w:tc>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Timeline</w:t>
            </w:r>
          </w:p>
        </w:tc>
        <w:tc>
          <w:tcPr>
            <w:tcW w:type="dxa" w:w="5060"/>
            <w:tcBorders>
              <w:top w:val="single" w:color="CCCCCC" w:sz="1"/>
              <w:left w:val="single" w:color="CCCCCC" w:sz="1"/>
              <w:bottom w:val="single" w:color="CCCCCC" w:sz="1"/>
              <w:right w:val="single" w:color="CCCCCC" w:sz="1"/>
            </w:tcBorders>
            <w:shd w:fill="2c5282" w:val="clear"/>
          </w:tcPr>
          <w:p>
            <w:r>
              <w:rPr>
                <w:b/>
                <w:bCs/>
                <w:color w:val="FFFFFF"/>
              </w:rPr>
              <w:t xml:space="preserve">Deliverables</w:t>
            </w:r>
          </w:p>
        </w:tc>
      </w:tr>
      <w:tr>
        <w:tc>
          <w:tcPr>
            <w:tcW w:type="dxa" w:w="1800"/>
            <w:tcBorders>
              <w:top w:val="single" w:color="CCCCCC" w:sz="1"/>
              <w:left w:val="single" w:color="CCCCCC" w:sz="1"/>
              <w:bottom w:val="single" w:color="CCCCCC" w:sz="1"/>
              <w:right w:val="single" w:color="CCCCCC" w:sz="1"/>
            </w:tcBorders>
          </w:tcPr>
          <w:p>
            <w:r>
              <w:rPr>
                <w:b/>
                <w:bCs/>
              </w:rPr>
              <w:t xml:space="preserve">MVP</w:t>
            </w:r>
          </w:p>
        </w:tc>
        <w:tc>
          <w:tcPr>
            <w:tcW w:type="dxa" w:w="2500"/>
            <w:tcBorders>
              <w:top w:val="single" w:color="CCCCCC" w:sz="1"/>
              <w:left w:val="single" w:color="CCCCCC" w:sz="1"/>
              <w:bottom w:val="single" w:color="CCCCCC" w:sz="1"/>
              <w:right w:val="single" w:color="CCCCCC" w:sz="1"/>
            </w:tcBorders>
          </w:tcPr>
          <w:p>
            <w:r>
              <w:t xml:space="preserve">Q1 2026 (12 weeks)</w:t>
            </w:r>
          </w:p>
        </w:tc>
        <w:tc>
          <w:tcPr>
            <w:tcW w:type="dxa" w:w="5060"/>
            <w:tcBorders>
              <w:top w:val="single" w:color="CCCCCC" w:sz="1"/>
              <w:left w:val="single" w:color="CCCCCC" w:sz="1"/>
              <w:bottom w:val="single" w:color="CCCCCC" w:sz="1"/>
              <w:right w:val="single" w:color="CCCCCC" w:sz="1"/>
            </w:tcBorders>
          </w:tcPr>
          <w:p>
            <w:r>
              <w:t xml:space="preserve">Core API, prepaid program config, basic portal, auth</w:t>
            </w:r>
          </w:p>
        </w:tc>
      </w:tr>
      <w:tr>
        <w:tc>
          <w:tcPr>
            <w:tcW w:type="dxa" w:w="1800"/>
            <w:tcBorders>
              <w:top w:val="single" w:color="CCCCCC" w:sz="1"/>
              <w:left w:val="single" w:color="CCCCCC" w:sz="1"/>
              <w:bottom w:val="single" w:color="CCCCCC" w:sz="1"/>
              <w:right w:val="single" w:color="CCCCCC" w:sz="1"/>
            </w:tcBorders>
          </w:tcPr>
          <w:p>
            <w:r>
              <w:rPr>
                <w:b/>
                <w:bCs/>
              </w:rPr>
              <w:t xml:space="preserve">Phase 2</w:t>
            </w:r>
          </w:p>
        </w:tc>
        <w:tc>
          <w:tcPr>
            <w:tcW w:type="dxa" w:w="2500"/>
            <w:tcBorders>
              <w:top w:val="single" w:color="CCCCCC" w:sz="1"/>
              <w:left w:val="single" w:color="CCCCCC" w:sz="1"/>
              <w:bottom w:val="single" w:color="CCCCCC" w:sz="1"/>
              <w:right w:val="single" w:color="CCCCCC" w:sz="1"/>
            </w:tcBorders>
          </w:tcPr>
          <w:p>
            <w:r>
              <w:t xml:space="preserve">Q2 2026 (10 weeks)</w:t>
            </w:r>
          </w:p>
        </w:tc>
        <w:tc>
          <w:tcPr>
            <w:tcW w:type="dxa" w:w="5060"/>
            <w:tcBorders>
              <w:top w:val="single" w:color="CCCCCC" w:sz="1"/>
              <w:left w:val="single" w:color="CCCCCC" w:sz="1"/>
              <w:bottom w:val="single" w:color="CCCCCC" w:sz="1"/>
              <w:right w:val="single" w:color="CCCCCC" w:sz="1"/>
            </w:tcBorders>
          </w:tcPr>
          <w:p>
            <w:r>
              <w:t xml:space="preserve">Debit/credit programs, spend controls, webhooks</w:t>
            </w:r>
          </w:p>
        </w:tc>
      </w:tr>
      <w:tr>
        <w:tc>
          <w:tcPr>
            <w:tcW w:type="dxa" w:w="1800"/>
            <w:tcBorders>
              <w:top w:val="single" w:color="CCCCCC" w:sz="1"/>
              <w:left w:val="single" w:color="CCCCCC" w:sz="1"/>
              <w:bottom w:val="single" w:color="CCCCCC" w:sz="1"/>
              <w:right w:val="single" w:color="CCCCCC" w:sz="1"/>
            </w:tcBorders>
          </w:tcPr>
          <w:p>
            <w:r>
              <w:rPr>
                <w:b/>
                <w:bCs/>
              </w:rPr>
              <w:t xml:space="preserve">Phase 3</w:t>
            </w:r>
          </w:p>
        </w:tc>
        <w:tc>
          <w:tcPr>
            <w:tcW w:type="dxa" w:w="2500"/>
            <w:tcBorders>
              <w:top w:val="single" w:color="CCCCCC" w:sz="1"/>
              <w:left w:val="single" w:color="CCCCCC" w:sz="1"/>
              <w:bottom w:val="single" w:color="CCCCCC" w:sz="1"/>
              <w:right w:val="single" w:color="CCCCCC" w:sz="1"/>
            </w:tcBorders>
          </w:tcPr>
          <w:p>
            <w:r>
              <w:t xml:space="preserve">Q3 2026 (10 weeks)</w:t>
            </w:r>
          </w:p>
        </w:tc>
        <w:tc>
          <w:tcPr>
            <w:tcW w:type="dxa" w:w="5060"/>
            <w:tcBorders>
              <w:top w:val="single" w:color="CCCCCC" w:sz="1"/>
              <w:left w:val="single" w:color="CCCCCC" w:sz="1"/>
              <w:bottom w:val="single" w:color="CCCCCC" w:sz="1"/>
              <w:right w:val="single" w:color="CCCCCC" w:sz="1"/>
            </w:tcBorders>
          </w:tcPr>
          <w:p>
            <w:r>
              <w:t xml:space="preserve">Advanced analytics, compliance dashboard, bulk operations</w:t>
            </w:r>
          </w:p>
        </w:tc>
      </w:tr>
      <w:tr>
        <w:tc>
          <w:tcPr>
            <w:tcW w:type="dxa" w:w="1800"/>
            <w:tcBorders>
              <w:top w:val="single" w:color="CCCCCC" w:sz="1"/>
              <w:left w:val="single" w:color="CCCCCC" w:sz="1"/>
              <w:bottom w:val="single" w:color="CCCCCC" w:sz="1"/>
              <w:right w:val="single" w:color="CCCCCC" w:sz="1"/>
            </w:tcBorders>
          </w:tcPr>
          <w:p>
            <w:r>
              <w:rPr>
                <w:b/>
                <w:bCs/>
              </w:rPr>
              <w:t xml:space="preserve">Phase 4</w:t>
            </w:r>
          </w:p>
        </w:tc>
        <w:tc>
          <w:tcPr>
            <w:tcW w:type="dxa" w:w="2500"/>
            <w:tcBorders>
              <w:top w:val="single" w:color="CCCCCC" w:sz="1"/>
              <w:left w:val="single" w:color="CCCCCC" w:sz="1"/>
              <w:bottom w:val="single" w:color="CCCCCC" w:sz="1"/>
              <w:right w:val="single" w:color="CCCCCC" w:sz="1"/>
            </w:tcBorders>
          </w:tcPr>
          <w:p>
            <w:r>
              <w:t xml:space="preserve">Q4 2026 (8 weeks)</w:t>
            </w:r>
          </w:p>
        </w:tc>
        <w:tc>
          <w:tcPr>
            <w:tcW w:type="dxa" w:w="5060"/>
            <w:tcBorders>
              <w:top w:val="single" w:color="CCCCCC" w:sz="1"/>
              <w:left w:val="single" w:color="CCCCCC" w:sz="1"/>
              <w:bottom w:val="single" w:color="CCCCCC" w:sz="1"/>
              <w:right w:val="single" w:color="CCCCCC" w:sz="1"/>
            </w:tcBorders>
          </w:tcPr>
          <w:p>
            <w:r>
              <w:t xml:space="preserve">White-label portal, SDK release, marketplace integrations</w:t>
            </w:r>
          </w:p>
        </w:tc>
      </w:tr>
    </w:tbl>
    <w:p>
      <w:r>
        <w:br w:type="page"/>
      </w:r>
    </w:p>
    <w:p>
      <w:pPr>
        <w:pStyle w:val="Heading1"/>
      </w:pPr>
      <w:r>
        <w:t xml:space="preserve">10. Risks &amp; Dependencies</w:t>
      </w:r>
    </w:p>
    <w:p>
      <w:pPr>
        <w:pStyle w:val="Heading2"/>
      </w:pPr>
      <w:r>
        <w:t xml:space="preserve">10.1 Key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2c5282" w:val="clear"/>
          </w:tcPr>
          <w:p>
            <w:r>
              <w:rPr>
                <w:b/>
                <w:bCs/>
                <w:color w:val="FFFFFF"/>
              </w:rPr>
              <w:t xml:space="preserve">Risk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rPr>
              <w:t xml:space="preserve">Impact</w:t>
            </w:r>
          </w:p>
        </w:tc>
        <w:tc>
          <w:tcPr>
            <w:tcW w:type="dxa" w:w="5060"/>
            <w:tcBorders>
              <w:top w:val="single" w:color="CCCCCC" w:sz="1"/>
              <w:left w:val="single" w:color="CCCCCC" w:sz="1"/>
              <w:bottom w:val="single" w:color="CCCCCC" w:sz="1"/>
              <w:right w:val="single" w:color="CCCCCC" w:sz="1"/>
            </w:tcBorders>
            <w:shd w:fill="2c5282" w:val="clear"/>
          </w:tcPr>
          <w:p>
            <w:r>
              <w:rPr>
                <w:b/>
                <w:bCs/>
                <w:color w:val="FFFFFF"/>
              </w:rPr>
              <w:t xml:space="preserve">Mitigation</w:t>
            </w:r>
          </w:p>
        </w:tc>
      </w:tr>
      <w:tr>
        <w:tc>
          <w:tcPr>
            <w:tcW w:type="dxa" w:w="2800"/>
            <w:tcBorders>
              <w:top w:val="single" w:color="CCCCCC" w:sz="1"/>
              <w:left w:val="single" w:color="CCCCCC" w:sz="1"/>
              <w:bottom w:val="single" w:color="CCCCCC" w:sz="1"/>
              <w:right w:val="single" w:color="CCCCCC" w:sz="1"/>
            </w:tcBorders>
          </w:tcPr>
          <w:p>
            <w:r>
              <w:t xml:space="preserve">Legacy system integration</w:t>
            </w:r>
          </w:p>
        </w:tc>
        <w:tc>
          <w:tcPr>
            <w:tcW w:type="dxa" w:w="1500"/>
            <w:tcBorders>
              <w:top w:val="single" w:color="CCCCCC" w:sz="1"/>
              <w:left w:val="single" w:color="CCCCCC" w:sz="1"/>
              <w:bottom w:val="single" w:color="CCCCCC" w:sz="1"/>
              <w:right w:val="single" w:color="CCCCCC" w:sz="1"/>
            </w:tcBorders>
          </w:tcPr>
          <w:p>
            <w:pPr>
              <w:jc w:val="center"/>
            </w:pPr>
            <w:r>
              <w:rPr>
                <w:color w:val="C53030"/>
              </w:rPr>
              <w:t xml:space="preserve">High</w:t>
            </w:r>
          </w:p>
        </w:tc>
        <w:tc>
          <w:tcPr>
            <w:tcW w:type="dxa" w:w="5060"/>
            <w:tcBorders>
              <w:top w:val="single" w:color="CCCCCC" w:sz="1"/>
              <w:left w:val="single" w:color="CCCCCC" w:sz="1"/>
              <w:bottom w:val="single" w:color="CCCCCC" w:sz="1"/>
              <w:right w:val="single" w:color="CCCCCC" w:sz="1"/>
            </w:tcBorders>
          </w:tcPr>
          <w:p>
            <w:r>
              <w:t xml:space="preserve">Early architecture spike, dedicated integration team</w:t>
            </w:r>
          </w:p>
        </w:tc>
      </w:tr>
      <w:tr>
        <w:tc>
          <w:tcPr>
            <w:tcW w:type="dxa" w:w="2800"/>
            <w:tcBorders>
              <w:top w:val="single" w:color="CCCCCC" w:sz="1"/>
              <w:left w:val="single" w:color="CCCCCC" w:sz="1"/>
              <w:bottom w:val="single" w:color="CCCCCC" w:sz="1"/>
              <w:right w:val="single" w:color="CCCCCC" w:sz="1"/>
            </w:tcBorders>
          </w:tcPr>
          <w:p>
            <w:r>
              <w:t xml:space="preserve">Regulatory changes</w:t>
            </w:r>
          </w:p>
        </w:tc>
        <w:tc>
          <w:tcPr>
            <w:tcW w:type="dxa" w:w="1500"/>
            <w:tcBorders>
              <w:top w:val="single" w:color="CCCCCC" w:sz="1"/>
              <w:left w:val="single" w:color="CCCCCC" w:sz="1"/>
              <w:bottom w:val="single" w:color="CCCCCC" w:sz="1"/>
              <w:right w:val="single" w:color="CCCCCC" w:sz="1"/>
            </w:tcBorders>
          </w:tcPr>
          <w:p>
            <w:pPr>
              <w:jc w:val="center"/>
            </w:pPr>
            <w:r>
              <w:rPr>
                <w:color w:val="D69E2E"/>
              </w:rPr>
              <w:t xml:space="preserve">Medium</w:t>
            </w:r>
          </w:p>
        </w:tc>
        <w:tc>
          <w:tcPr>
            <w:tcW w:type="dxa" w:w="5060"/>
            <w:tcBorders>
              <w:top w:val="single" w:color="CCCCCC" w:sz="1"/>
              <w:left w:val="single" w:color="CCCCCC" w:sz="1"/>
              <w:bottom w:val="single" w:color="CCCCCC" w:sz="1"/>
              <w:right w:val="single" w:color="CCCCCC" w:sz="1"/>
            </w:tcBorders>
          </w:tcPr>
          <w:p>
            <w:r>
              <w:t xml:space="preserve">Modular compliance layer, regular legal reviews</w:t>
            </w:r>
          </w:p>
        </w:tc>
      </w:tr>
      <w:tr>
        <w:tc>
          <w:tcPr>
            <w:tcW w:type="dxa" w:w="2800"/>
            <w:tcBorders>
              <w:top w:val="single" w:color="CCCCCC" w:sz="1"/>
              <w:left w:val="single" w:color="CCCCCC" w:sz="1"/>
              <w:bottom w:val="single" w:color="CCCCCC" w:sz="1"/>
              <w:right w:val="single" w:color="CCCCCC" w:sz="1"/>
            </w:tcBorders>
          </w:tcPr>
          <w:p>
            <w:r>
              <w:t xml:space="preserve">User adoption resistance</w:t>
            </w:r>
          </w:p>
        </w:tc>
        <w:tc>
          <w:tcPr>
            <w:tcW w:type="dxa" w:w="1500"/>
            <w:tcBorders>
              <w:top w:val="single" w:color="CCCCCC" w:sz="1"/>
              <w:left w:val="single" w:color="CCCCCC" w:sz="1"/>
              <w:bottom w:val="single" w:color="CCCCCC" w:sz="1"/>
              <w:right w:val="single" w:color="CCCCCC" w:sz="1"/>
            </w:tcBorders>
          </w:tcPr>
          <w:p>
            <w:pPr>
              <w:jc w:val="center"/>
            </w:pPr>
            <w:r>
              <w:rPr>
                <w:color w:val="D69E2E"/>
              </w:rPr>
              <w:t xml:space="preserve">Medium</w:t>
            </w:r>
          </w:p>
        </w:tc>
        <w:tc>
          <w:tcPr>
            <w:tcW w:type="dxa" w:w="5060"/>
            <w:tcBorders>
              <w:top w:val="single" w:color="CCCCCC" w:sz="1"/>
              <w:left w:val="single" w:color="CCCCCC" w:sz="1"/>
              <w:bottom w:val="single" w:color="CCCCCC" w:sz="1"/>
              <w:right w:val="single" w:color="CCCCCC" w:sz="1"/>
            </w:tcBorders>
          </w:tcPr>
          <w:p>
            <w:r>
              <w:t xml:space="preserve">Beta program, training materials, gradual migration</w:t>
            </w:r>
          </w:p>
        </w:tc>
      </w:tr>
    </w:tbl>
    <w:p>
      <w:pPr>
        <w:pStyle w:val="Heading2"/>
      </w:pPr>
      <w:r>
        <w:t xml:space="preserve">10.2 Dependencies</w:t>
      </w:r>
    </w:p>
    <w:p>
      <w:pPr>
        <w:pStyle w:val="ListParagraph"/>
        <w:numPr>
          <w:ilvl w:val="0"/>
          <w:numId w:val="2"/>
        </w:numPr>
      </w:pPr>
      <w:r>
        <w:rPr>
          <w:b/>
          <w:bCs/>
        </w:rPr>
        <w:t xml:space="preserve">Core Processing Platform: </w:t>
      </w:r>
      <w:r>
        <w:t xml:space="preserve">API depends on existing card processing infrastructure</w:t>
      </w:r>
    </w:p>
    <w:p>
      <w:pPr>
        <w:pStyle w:val="ListParagraph"/>
        <w:numPr>
          <w:ilvl w:val="0"/>
          <w:numId w:val="2"/>
        </w:numPr>
      </w:pPr>
      <w:r>
        <w:rPr>
          <w:b/>
          <w:bCs/>
        </w:rPr>
        <w:t xml:space="preserve">Scheme Certification: </w:t>
      </w:r>
      <w:r>
        <w:t xml:space="preserve">New BIN ranges may require Visa/Mastercard approval</w:t>
      </w:r>
    </w:p>
    <w:p>
      <w:pPr>
        <w:pStyle w:val="ListParagraph"/>
        <w:numPr>
          <w:ilvl w:val="0"/>
          <w:numId w:val="2"/>
        </w:numPr>
      </w:pPr>
      <w:r>
        <w:rPr>
          <w:b/>
          <w:bCs/>
        </w:rPr>
        <w:t xml:space="preserve">KYC Provider Integration: </w:t>
      </w:r>
      <w:r>
        <w:t xml:space="preserve">Third-party KYC service contracts and API readiness</w:t>
      </w:r>
    </w:p>
    <w:p>
      <w:pPr>
        <w:pStyle w:val="ListParagraph"/>
        <w:numPr>
          <w:ilvl w:val="0"/>
          <w:numId w:val="2"/>
        </w:numPr>
      </w:pPr>
      <w:r>
        <w:rPr>
          <w:b/>
          <w:bCs/>
        </w:rPr>
        <w:t xml:space="preserve">Card Manufacturer: </w:t>
      </w:r>
      <w:r>
        <w:t xml:space="preserve">Physical card design and production lead times</w:t>
      </w:r>
    </w:p>
    <w:p>
      <w:pPr>
        <w:pStyle w:val="Heading1"/>
      </w:pPr>
      <w:r>
        <w:t xml:space="preserve">11. Success Criteria</w:t>
      </w:r>
    </w:p>
    <w:p>
      <w:pPr>
        <w:spacing w:after="100"/>
      </w:pPr>
      <w:r>
        <w:t xml:space="preserve">The project will be considered successful when:</w:t>
      </w:r>
    </w:p>
    <w:p>
      <w:pPr>
        <w:pStyle w:val="ListParagraph"/>
        <w:numPr>
          <w:ilvl w:val="0"/>
          <w:numId w:val="5"/>
        </w:numPr>
      </w:pPr>
      <w:r>
        <w:t xml:space="preserve">3 enterprise customers have successfully launched card programs via self-service</w:t>
      </w:r>
    </w:p>
    <w:p>
      <w:pPr>
        <w:pStyle w:val="ListParagraph"/>
        <w:numPr>
          <w:ilvl w:val="0"/>
          <w:numId w:val="5"/>
        </w:numPr>
      </w:pPr>
      <w:r>
        <w:t xml:space="preserve">Average program setup time reduced to &lt; 5 business days</w:t>
      </w:r>
    </w:p>
    <w:p>
      <w:pPr>
        <w:pStyle w:val="ListParagraph"/>
        <w:numPr>
          <w:ilvl w:val="0"/>
          <w:numId w:val="5"/>
        </w:numPr>
      </w:pPr>
      <w:r>
        <w:t xml:space="preserve">Customer satisfaction score &gt; 90% on portal usability surveys</w:t>
      </w:r>
    </w:p>
    <w:p>
      <w:pPr>
        <w:pStyle w:val="ListParagraph"/>
        <w:numPr>
          <w:ilvl w:val="0"/>
          <w:numId w:val="5"/>
        </w:numPr>
      </w:pPr>
      <w:r>
        <w:t xml:space="preserve">API availability maintains 99.95% uptime for 3 consecutive months</w:t>
      </w:r>
    </w:p>
    <w:p>
      <w:pPr>
        <w:pStyle w:val="ListParagraph"/>
        <w:numPr>
          <w:ilvl w:val="0"/>
          <w:numId w:val="5"/>
        </w:numPr>
      </w:pPr>
      <w:r>
        <w:t xml:space="preserve">Support ticket volume reduced by 60% compared to manual onboarding</w:t>
      </w:r>
    </w:p>
    <w:p>
      <w:pPr>
        <w:pStyle w:val="Heading1"/>
      </w:pPr>
      <w:r>
        <w:t xml:space="preserve">12. Appendix</w:t>
      </w:r>
    </w:p>
    <w:p>
      <w:pPr>
        <w:pStyle w:val="Heading2"/>
      </w:pPr>
      <w:r>
        <w:t xml:space="preserve">12.1 Glossary</w:t>
      </w:r>
    </w:p>
    <w:p>
      <w:pPr>
        <w:pStyle w:val="ListParagraph"/>
        <w:numPr>
          <w:ilvl w:val="0"/>
          <w:numId w:val="2"/>
        </w:numPr>
      </w:pPr>
      <w:r>
        <w:rPr>
          <w:b/>
          <w:bCs/>
        </w:rPr>
        <w:t xml:space="preserve">BIN: </w:t>
      </w:r>
      <w:r>
        <w:t xml:space="preserve">Bank Identification Number - first 6-8 digits identifying the card issuer</w:t>
      </w:r>
    </w:p>
    <w:p>
      <w:pPr>
        <w:pStyle w:val="ListParagraph"/>
        <w:numPr>
          <w:ilvl w:val="0"/>
          <w:numId w:val="2"/>
        </w:numPr>
      </w:pPr>
      <w:r>
        <w:rPr>
          <w:b/>
          <w:bCs/>
        </w:rPr>
        <w:t xml:space="preserve">MCC: </w:t>
      </w:r>
      <w:r>
        <w:t xml:space="preserve">Merchant Category Code - 4-digit code classifying business type</w:t>
      </w:r>
    </w:p>
    <w:p>
      <w:pPr>
        <w:pStyle w:val="ListParagraph"/>
        <w:numPr>
          <w:ilvl w:val="0"/>
          <w:numId w:val="2"/>
        </w:numPr>
      </w:pPr>
      <w:r>
        <w:rPr>
          <w:b/>
          <w:bCs/>
        </w:rPr>
        <w:t xml:space="preserve">EMI: </w:t>
      </w:r>
      <w:r>
        <w:t xml:space="preserve">Electronic Money Institution - licensed entity that can issue electronic money</w:t>
      </w:r>
    </w:p>
    <w:p>
      <w:pPr>
        <w:pStyle w:val="ListParagraph"/>
        <w:numPr>
          <w:ilvl w:val="0"/>
          <w:numId w:val="2"/>
        </w:numPr>
      </w:pPr>
      <w:r>
        <w:rPr>
          <w:b/>
          <w:bCs/>
        </w:rPr>
        <w:t xml:space="preserve">3DS: </w:t>
      </w:r>
      <w:r>
        <w:t xml:space="preserve">3D Secure - authentication protocol for online card transactions</w:t>
      </w:r>
    </w:p>
    <w:p>
      <w:pPr>
        <w:pStyle w:val="ListParagraph"/>
        <w:numPr>
          <w:ilvl w:val="0"/>
          <w:numId w:val="2"/>
        </w:numPr>
      </w:pPr>
      <w:r>
        <w:rPr>
          <w:b/>
          <w:bCs/>
        </w:rPr>
        <w:t xml:space="preserve">KYC: </w:t>
      </w:r>
      <w:r>
        <w:t xml:space="preserve">Know Your Customer - identity verification requirements</w:t>
      </w:r>
    </w:p>
    <w:p>
      <w:pPr>
        <w:pStyle w:val="Heading2"/>
      </w:pPr>
      <w:r>
        <w:t xml:space="preserve">12.2 References</w:t>
      </w:r>
    </w:p>
    <w:p>
      <w:pPr>
        <w:pStyle w:val="ListParagraph"/>
        <w:numPr>
          <w:ilvl w:val="0"/>
          <w:numId w:val="2"/>
        </w:numPr>
      </w:pPr>
      <w:r>
        <w:t xml:space="preserve">Enfuce API Documentation (internal)</w:t>
      </w:r>
    </w:p>
    <w:p>
      <w:pPr>
        <w:pStyle w:val="ListParagraph"/>
        <w:numPr>
          <w:ilvl w:val="0"/>
          <w:numId w:val="2"/>
        </w:numPr>
      </w:pPr>
      <w:r>
        <w:t xml:space="preserve">Visa Core Rules and Visa Product and Service Rules</w:t>
      </w:r>
    </w:p>
    <w:p>
      <w:pPr>
        <w:pStyle w:val="ListParagraph"/>
        <w:numPr>
          <w:ilvl w:val="0"/>
          <w:numId w:val="2"/>
        </w:numPr>
      </w:pPr>
      <w:r>
        <w:t xml:space="preserve">Mastercard Standards Manual</w:t>
      </w:r>
    </w:p>
    <w:p>
      <w:pPr>
        <w:pStyle w:val="ListParagraph"/>
        <w:numPr>
          <w:ilvl w:val="0"/>
          <w:numId w:val="2"/>
        </w:numPr>
      </w:pPr>
      <w:r>
        <w:t xml:space="preserve">PCI DSS v4.0 Requirements</w:t>
      </w:r>
    </w:p>
    <w:p>
      <w:pPr>
        <w:spacing w:before="600"/>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ENFUCE | Card Program Configuration Portal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2025-11-25T09:43:46.997Z</dcterms:created>
  <dcterms:modified xsi:type="dcterms:W3CDTF">2025-11-25T09:43:46.998Z</dcterms:modified>
</cp:coreProperties>
</file>

<file path=docProps/custom.xml><?xml version="1.0" encoding="utf-8"?>
<Properties xmlns="http://schemas.openxmlformats.org/officeDocument/2006/custom-properties" xmlns:vt="http://schemas.openxmlformats.org/officeDocument/2006/docPropsVTypes"/>
</file>