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 [REF].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This training has not incorporated data analysis skills into existing courses or by creating stand alone data science courses. Although many programs may require a course in statistics, these courses focus on experimental design and choosing the appropriate statistical tests. They rarely discuss data management, data curation, data visualization, or data dissemination. Furthermore, faculty who appreciate that they need to develop these skills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limited.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 [REF]. Participants have positive experiences in these workshops and rate the value of the material highly. Yet, it is necessary to ask whether these intensive training activities are effective [REF]. A 2017 analysis measured learning outcomes and found that such activities did not have a statistically significant effect on learning [REF].</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 [REFS].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[REFS]. Others may call such work</w:t>
      </w:r>
      <w:r>
        <w:t xml:space="preserve"> </w:t>
      </w:r>
      <w:r>
        <w:t xml:space="preserve">“</w:t>
      </w:r>
      <w:r>
        <w:t xml:space="preserve">sloppy</w:t>
      </w:r>
      <w:r>
        <w:t xml:space="preserve">”</w:t>
      </w:r>
      <w:r>
        <w:t xml:space="preserve"> </w:t>
      </w:r>
      <w:r>
        <w:t xml:space="preserve">[REFS].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 [REFS]. These led to a renewed effort to improve the rigor and reproducibility across the lifecycle of a research project [REFS]. As highlighted at the XXXX Clearinghouse XXXXX, NIH has supported the development of instructional modules including one that we generated for the field of microbiome research [REFS].</w:t>
      </w:r>
    </w:p>
    <w:p>
      <w:pPr>
        <w:pStyle w:val="BodyText"/>
      </w:pPr>
      <w:r>
        <w:rPr>
          <w:i/>
          <w:b/>
        </w:rPr>
        <w:t xml:space="preserve">Defining reproducibility.</w:t>
      </w:r>
      <w:r>
        <w:t xml:space="preserve"> </w:t>
      </w:r>
      <w:r>
        <w:t xml:space="preserve">There is a general understanding that a result is reproducible if others can obtain the same result that we did. Yet reproducibility and replicability are often used interchangeably or with different definitions.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 We can also think of this framework in terms of the data analysis step of a research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Methods</w:t>
            </w:r>
          </w:p>
        </w:tc>
        <w:tc>
          <w:tcPr>
            <w:tcBorders>
              <w:bottom w:val="single"/>
            </w:tcBorders>
            <w:vAlign w:val="bottom"/>
          </w:tcPr>
          <w:p>
            <w:pPr>
              <w:pStyle w:val="Compact"/>
              <w:jc w:val="left"/>
            </w:pPr>
            <w:r>
              <w:t xml:space="preserve">Same dataset</w:t>
            </w:r>
          </w:p>
        </w:tc>
        <w:tc>
          <w:tcPr>
            <w:tcBorders>
              <w:bottom w:val="single"/>
            </w:tcBorders>
            <w:vAlign w:val="bottom"/>
          </w:tcPr>
          <w:p>
            <w:pPr>
              <w:pStyle w:val="Compact"/>
              <w:jc w:val="left"/>
            </w:pPr>
            <w:r>
              <w:t xml:space="preserve">Different datasets</w:t>
            </w:r>
          </w:p>
        </w:tc>
      </w:tr>
      <w:tr>
        <w:tc>
          <w:p>
            <w:pPr>
              <w:pStyle w:val="Compact"/>
              <w:jc w:val="left"/>
            </w:pPr>
            <w:r>
              <w:t xml:space="preserve">Same methods</w:t>
            </w:r>
          </w:p>
        </w:tc>
        <w:tc>
          <w:p>
            <w:pPr>
              <w:pStyle w:val="Compact"/>
              <w:jc w:val="left"/>
            </w:pPr>
            <w:r>
              <w:t xml:space="preserve">Reproducibility</w:t>
            </w:r>
          </w:p>
        </w:tc>
        <w:tc>
          <w:p>
            <w:pPr>
              <w:pStyle w:val="Compact"/>
              <w:jc w:val="left"/>
            </w:pPr>
            <w:r>
              <w:t xml:space="preserve">Replicability</w:t>
            </w:r>
          </w:p>
        </w:tc>
      </w:tr>
      <w:tr>
        <w:tc>
          <w:p>
            <w:pPr>
              <w:pStyle w:val="Compact"/>
              <w:jc w:val="left"/>
            </w:pPr>
            <w:r>
              <w:t xml:space="preserve">Different methods</w:t>
            </w:r>
          </w:p>
        </w:tc>
        <w:tc>
          <w:p>
            <w:pPr>
              <w:pStyle w:val="Compact"/>
              <w:jc w:val="left"/>
            </w:pPr>
            <w:r>
              <w:t xml:space="preserve">Robustness</w:t>
            </w:r>
          </w:p>
        </w:tc>
        <w:tc>
          <w:p>
            <w:pPr>
              <w:pStyle w:val="Compact"/>
              <w:jc w:val="left"/>
            </w:pPr>
            <w:r>
              <w:t xml:space="preserve">Generalizability</w:t>
            </w:r>
          </w:p>
        </w:tc>
      </w:tr>
    </w:tbl>
    <w:p>
      <w:pPr>
        <w:pStyle w:val="BodyText"/>
      </w:pPr>
      <w:r>
        <w:t xml:space="preserve">Briefly, if someone were to take my data and methods and generated the same results,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(10.1177/2515245917747646) 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calculated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if an analysis is reproducible, it is not necessarily correct. However, if an incorrect result is obtained from a reproducible analysis, it is much easier to find and correct the problem and test the effect of the error on the final result. The past 10 years has seen a significant growth in the availability of tools to help improve the reproducibility of data analyses. We have found that assuming the analyst will need to reproduce the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 This would represent 13% of someone’s annual effort to reproduce an analysis. This is a considerable cost and does not even consider the cost of data storage and processing, much less how much longer it would have taken if Bourne and colleagues were not as helpful.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wastes scarse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[REFS]. The analogy suggests that using reproducible data analysis practices will help researchers better identify any problems that occur in their analysis. The third is a positive reason and what we consider the most important. Reproducibility is important because we want other to build upon our work. Another researcher cannot extend a result if they cannot reproduce the initial result. They also cannot apply my innovative methods if they cannot reproduce the work. They cannot build off of the initial result and methods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Teaching data analysis skills.</w:t>
      </w:r>
      <w:r>
        <w:t xml:space="preserve"> </w:t>
      </w:r>
      <w:r>
        <w:t xml:space="preserve">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 Regardless of the challenges, we have found that as traditionally-trained bench scientists are expected to do more of their own analysis using ever growing datasets, are ill-equipped to employ modern approaches to maximize reproducibility.</w:t>
      </w:r>
    </w:p>
    <w:p>
      <w:pPr>
        <w:pStyle w:val="BodyText"/>
      </w:pPr>
      <w:r>
        <w:t xml:space="preserve">The past 10 years has seen an explosion in the availability of materials to help people learn to analyze data. Much of these materials have been targeted to autodidacts.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autodidact [10.1080/00461520.2013.804395]. The first is deciphering what they need to learn and how sift through the various opinions to learn best practices. The second is how to piece together tools from different areas of data science to perform a complete analysis since most tutorial focus on teaching a single concept rather than on how it fits in with other concepts. The third is that by definition, an autodidact lacks a community in which to develop, correct, and strengthen their new skills. These challenges likely limit the progress of bench scientists trying to develop data analysis skills leading them to persist in their skills that limit reproducibility.</w:t>
      </w:r>
    </w:p>
    <w:p>
      <w:pPr>
        <w:pStyle w:val="BodyText"/>
      </w:pPr>
      <w:r>
        <w:t xml:space="preserve">Simultaneously, the traditional training environment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For the past 12 years, we have taught our own 3-day data analysis workshops covering reproducible research topics for scientists studying the host-associated and other microbiomes. These workshops are popular because they are free, require a minimal time commitment from the learner (i.e. 2 to 3 days), employ excellent pedagogy, and offer a welcoming and inclusive environment [10.1371/journal.pcbi.1004208, 10.1187/cbe.07-07-0049, SWC lessons learned]. Other, for profit, bootcamps and university-based certificate programs, require a more extensive time commitment and often assume a foundation in math, statistics, and programming. An important study from Feldon et al [10.1073/pnas.1705783114] acknowledged the popularity of workshops, but wanted to know whether the workshop model was effective for long-term retention of the material. Using a cohort of 294 life sciences PhD students they assessed skill development, productivity, and socialization between students at 1 and 2 years after joining their graduate program. Among those students that participated in a boot camp or bridge program designed to enhance data analysis and writing skills and acclimate students to academia prior to starting graduate school, there were no significant benefits of the training relative to those that did not participate in a program. This result is jarring, but aligns with anecdotal evidence of past workshop participants who comment that they are taking a workshop covering the same content for the second or third time.</w:t>
      </w:r>
    </w:p>
    <w:p>
      <w:pPr>
        <w:pStyle w:val="BodyText"/>
      </w:pPr>
      <w:r>
        <w:t xml:space="preserve">There is nothing inherently wrong with the materials available to autodidacts or that are available through workshops. The challenge is that too much is asked of these approaches. A the autodidact struggles to advance because they do not know enough to know what to study - a grounding provided by workshops. Conversely, the workshop-based approach likely suffers because the participant does not become an autodidact by continuing to practice the material they learned. This point was emphasized by Feldon et al. [10.1073/pnas.1705783114] when they suggested that these approaches fail to recognize the extensive metacognition literature. This literature indicates that spaced instruction is more effective than massed learning (i.e. cramming) [see references from Feldon et al].</w:t>
      </w:r>
    </w:p>
    <w:p>
      <w:pPr>
        <w:pStyle w:val="Compact"/>
        <w:numPr>
          <w:numId w:val="1001"/>
          <w:ilvl w:val="0"/>
        </w:numPr>
      </w:pPr>
      <w:r>
        <w:t xml:space="preserve">Repeated practice vs drill/kill</w:t>
      </w:r>
      <w:r>
        <w:br/>
      </w:r>
    </w:p>
    <w:p>
      <w:pPr>
        <w:pStyle w:val="Compact"/>
        <w:numPr>
          <w:numId w:val="1001"/>
          <w:ilvl w:val="0"/>
        </w:numPr>
      </w:pPr>
      <w:r>
        <w:t xml:space="preserve">Chunked learning</w:t>
      </w:r>
      <w:r>
        <w:br/>
      </w:r>
    </w:p>
    <w:p>
      <w:pPr>
        <w:pStyle w:val="Compact"/>
        <w:numPr>
          <w:numId w:val="1001"/>
          <w:ilvl w:val="0"/>
        </w:numPr>
      </w:pPr>
      <w:r>
        <w:t xml:space="preserve">Value of testing</w:t>
      </w:r>
      <w:r>
        <w:br/>
      </w:r>
    </w:p>
    <w:p>
      <w:pPr>
        <w:pStyle w:val="Compact"/>
        <w:numPr>
          <w:numId w:val="1001"/>
          <w:ilvl w:val="0"/>
        </w:numPr>
      </w:pPr>
      <w:r>
        <w:t xml:space="preserve">Cycle - incomplete mastery before moving on</w:t>
      </w:r>
      <w:r>
        <w:br/>
      </w:r>
    </w:p>
    <w:p>
      <w:pPr>
        <w:pStyle w:val="Compact"/>
        <w:numPr>
          <w:numId w:val="1001"/>
          <w:ilvl w:val="0"/>
        </w:numPr>
      </w:pPr>
      <w:r>
        <w:t xml:space="preserve">Deliberate practice</w:t>
      </w:r>
      <w:r>
        <w:br/>
      </w:r>
    </w:p>
    <w:p>
      <w:pPr>
        <w:pStyle w:val="Compact"/>
        <w:numPr>
          <w:numId w:val="1001"/>
          <w:ilvl w:val="0"/>
        </w:numPr>
      </w:pPr>
      <w:r>
        <w:t xml:space="preserve">Cognitive load</w:t>
      </w:r>
    </w:p>
    <w:p>
      <w:pPr>
        <w:pStyle w:val="FirstParagraph"/>
      </w:pPr>
      <w:r>
        <w:rPr>
          <w:i/>
          <w:b/>
        </w:rPr>
        <w:t xml:space="preserve">Developing data analysis skills.</w:t>
      </w:r>
      <w:r>
        <w:t xml:space="preserve"> </w:t>
      </w:r>
      <w:r>
        <w:t xml:space="preserve">Learning how to become a data scientists requires more than program skills. Someone wanting to become a data scientist needs to know how to program, but they also need to understand project organization, data visualization, statistics, version control, and automation. This</w:t>
      </w:r>
      <w:r>
        <w:t xml:space="preserve"> </w:t>
      </w:r>
      <w:r>
        <w:t xml:space="preserve">“</w:t>
      </w:r>
      <w:r>
        <w:t xml:space="preserve">stack</w:t>
      </w:r>
      <w:r>
        <w:t xml:space="preserve">”</w:t>
      </w:r>
      <w:r>
        <w:t xml:space="preserve"> </w:t>
      </w:r>
      <w:r>
        <w:t xml:space="preserve">of skills is overwhelming to most people setting out to learn to to engage in reproducible data science practices. In earlier work, we developed the Riffomonas project to help lead microbiome scientists through the development of these skills. The proposed project will build off of the earlier Riffomonas platform to generalize the concepts to other biomedical and general science fields. In a Commentary that came from that work, I proposed an aspirational rubric for how researchers could grade the reproducibility of a study [REF]. The practices outlined in the rubric highlight the skills that a scientist needs to develop to perform reproducible analyses</w:t>
      </w:r>
    </w:p>
    <w:p>
      <w:pPr>
        <w:pStyle w:val="Compact"/>
        <w:numPr>
          <w:numId w:val="1002"/>
          <w:ilvl w:val="0"/>
        </w:numPr>
      </w:pPr>
      <w:r>
        <w:t xml:space="preserve">Handling of confounding variables</w:t>
      </w:r>
    </w:p>
    <w:p>
      <w:pPr>
        <w:pStyle w:val="Compact"/>
        <w:numPr>
          <w:numId w:val="1002"/>
          <w:ilvl w:val="0"/>
        </w:numPr>
      </w:pPr>
      <w:r>
        <w:t xml:space="preserve">Sex/gender as confounding variables</w:t>
      </w:r>
    </w:p>
    <w:p>
      <w:pPr>
        <w:pStyle w:val="Compact"/>
        <w:numPr>
          <w:numId w:val="1002"/>
          <w:ilvl w:val="0"/>
        </w:numPr>
      </w:pPr>
      <w:r>
        <w:t xml:space="preserve">Experimental design considerations</w:t>
      </w:r>
    </w:p>
    <w:p>
      <w:pPr>
        <w:pStyle w:val="Compact"/>
        <w:numPr>
          <w:numId w:val="1002"/>
          <w:ilvl w:val="0"/>
        </w:numPr>
      </w:pPr>
      <w:r>
        <w:t xml:space="preserve">Data analysis plan</w:t>
      </w:r>
    </w:p>
    <w:p>
      <w:pPr>
        <w:pStyle w:val="Compact"/>
        <w:numPr>
          <w:numId w:val="1002"/>
          <w:ilvl w:val="0"/>
        </w:numPr>
      </w:pPr>
      <w:r>
        <w:t xml:space="preserve">Clarity of software descriptions</w:t>
      </w:r>
    </w:p>
    <w:p>
      <w:pPr>
        <w:pStyle w:val="Compact"/>
        <w:numPr>
          <w:numId w:val="1002"/>
          <w:ilvl w:val="0"/>
        </w:numPr>
      </w:pPr>
      <w:r>
        <w:t xml:space="preserve">Availability of data products</w:t>
      </w:r>
    </w:p>
    <w:p>
      <w:pPr>
        <w:pStyle w:val="Compact"/>
        <w:numPr>
          <w:numId w:val="1002"/>
          <w:ilvl w:val="0"/>
        </w:numPr>
      </w:pPr>
      <w:r>
        <w:t xml:space="preserve">Availability of metadata</w:t>
      </w:r>
    </w:p>
    <w:p>
      <w:pPr>
        <w:pStyle w:val="Compact"/>
        <w:numPr>
          <w:numId w:val="1002"/>
          <w:ilvl w:val="0"/>
        </w:numPr>
      </w:pPr>
      <w:r>
        <w:t xml:space="preserve">Data analysis organization</w:t>
      </w:r>
    </w:p>
    <w:p>
      <w:pPr>
        <w:pStyle w:val="Compact"/>
        <w:numPr>
          <w:numId w:val="1002"/>
          <w:ilvl w:val="0"/>
        </w:numPr>
      </w:pPr>
      <w:r>
        <w:t xml:space="preserve">Availability of data analysis tools</w:t>
      </w:r>
    </w:p>
    <w:p>
      <w:pPr>
        <w:pStyle w:val="Compact"/>
        <w:numPr>
          <w:numId w:val="1002"/>
          <w:ilvl w:val="0"/>
        </w:numPr>
      </w:pPr>
      <w:r>
        <w:t xml:space="preserve">Documentation of data analysis workflow</w:t>
      </w:r>
    </w:p>
    <w:p>
      <w:pPr>
        <w:pStyle w:val="Compact"/>
        <w:numPr>
          <w:numId w:val="1002"/>
          <w:ilvl w:val="0"/>
        </w:numPr>
      </w:pPr>
      <w:r>
        <w:t xml:space="preserve">Use of random number generator seed</w:t>
      </w:r>
    </w:p>
    <w:p>
      <w:pPr>
        <w:pStyle w:val="Compact"/>
        <w:numPr>
          <w:numId w:val="1002"/>
          <w:ilvl w:val="0"/>
        </w:numPr>
      </w:pPr>
      <w:r>
        <w:t xml:space="preserve">Defensive data analysis</w:t>
      </w:r>
    </w:p>
    <w:p>
      <w:pPr>
        <w:pStyle w:val="Compact"/>
        <w:numPr>
          <w:numId w:val="1002"/>
          <w:ilvl w:val="0"/>
        </w:numPr>
      </w:pPr>
      <w:r>
        <w:t xml:space="preserve">Insuring short and longterm reproducibility</w:t>
      </w:r>
    </w:p>
    <w:p>
      <w:pPr>
        <w:pStyle w:val="Compact"/>
        <w:numPr>
          <w:numId w:val="1002"/>
          <w:ilvl w:val="0"/>
        </w:numPr>
      </w:pPr>
      <w:r>
        <w:t xml:space="preserve">Open science to foster reproducibility</w:t>
      </w:r>
    </w:p>
    <w:p>
      <w:pPr>
        <w:pStyle w:val="Compact"/>
        <w:numPr>
          <w:numId w:val="1002"/>
          <w:ilvl w:val="0"/>
        </w:numPr>
      </w:pPr>
      <w:r>
        <w:t xml:space="preserve">Transparency of data analysis</w:t>
      </w:r>
    </w:p>
    <w:p>
      <w:pPr>
        <w:pStyle w:val="FirstParagraph"/>
      </w:pPr>
      <w:r>
        <w:t xml:space="preserve">Each of these practices were associated with a grade of</w:t>
      </w:r>
      <w:r>
        <w:t xml:space="preserve"> </w:t>
      </w:r>
      <w:r>
        <w:t xml:space="preserve">“</w:t>
      </w:r>
      <w:r>
        <w:t xml:space="preserve">good</w:t>
      </w:r>
      <w:r>
        <w:t xml:space="preserve">”</w:t>
      </w:r>
      <w:r>
        <w:t xml:space="preserve">,</w:t>
      </w:r>
      <w:r>
        <w:t xml:space="preserve"> </w:t>
      </w:r>
      <w:r>
        <w:t xml:space="preserve">“</w:t>
      </w:r>
      <w:r>
        <w:t xml:space="preserve">better</w:t>
      </w:r>
      <w:r>
        <w:t xml:space="preserve">”</w:t>
      </w:r>
      <w:r>
        <w:t xml:space="preserve">, or</w:t>
      </w:r>
      <w:r>
        <w:t xml:space="preserve"> </w:t>
      </w:r>
      <w:r>
        <w:t xml:space="preserve">“</w:t>
      </w:r>
      <w:r>
        <w:t xml:space="preserve">best</w:t>
      </w:r>
      <w:r>
        <w:t xml:space="preserve">”</w:t>
      </w:r>
      <w:r>
        <w:t xml:space="preserve"> </w:t>
      </w:r>
      <w:r>
        <w:t xml:space="preserve">depending on how the scientist answered specific questions. For example, under the</w:t>
      </w:r>
      <w:r>
        <w:t xml:space="preserve"> </w:t>
      </w:r>
      <w:r>
        <w:t xml:space="preserve">“</w:t>
      </w:r>
      <w:r>
        <w:t xml:space="preserve">Documentation of data analysis workflow</w:t>
      </w:r>
      <w:r>
        <w:t xml:space="preserve">”</w:t>
      </w:r>
      <w:r>
        <w:t xml:space="preserve"> </w:t>
      </w:r>
      <w:r>
        <w:t xml:space="preserve">practice:</w:t>
      </w:r>
    </w:p>
    <w:p>
      <w:pPr>
        <w:pStyle w:val="Compact"/>
        <w:numPr>
          <w:numId w:val="1003"/>
          <w:ilvl w:val="0"/>
        </w:numPr>
      </w:pPr>
      <w:r>
        <w:rPr>
          <w:b/>
        </w:rPr>
        <w:t xml:space="preserve">Good: Is our code well documented? Do we use a self-commenting coding practice?</w:t>
      </w:r>
      <w:r>
        <w:t xml:space="preserve"> </w:t>
      </w:r>
      <w:r>
        <w:t xml:space="preserve">To get this grade, one would need to be able to program and use its commenting system along with using descriptive function and variable names.</w:t>
      </w:r>
    </w:p>
    <w:p>
      <w:pPr>
        <w:pStyle w:val="Compact"/>
        <w:numPr>
          <w:numId w:val="1003"/>
          <w:ilvl w:val="0"/>
        </w:numPr>
      </w:pPr>
      <w:r>
        <w:rPr>
          <w:b/>
        </w:rPr>
        <w:t xml:space="preserve">Better: Do each of our scripts have a header indicating the inputs, outputs, and dependencies? Is it documented how files relate to each other?</w:t>
      </w:r>
      <w:r>
        <w:t xml:space="preserve"> </w:t>
      </w:r>
      <w:r>
        <w:t xml:space="preserve">This grade requires a more extensive use of commenting and organization.</w:t>
      </w:r>
    </w:p>
    <w:p>
      <w:pPr>
        <w:pStyle w:val="Compact"/>
        <w:numPr>
          <w:numId w:val="1003"/>
          <w:ilvl w:val="0"/>
        </w:numPr>
      </w:pPr>
      <w:r>
        <w:rPr>
          <w:b/>
        </w:rPr>
        <w:t xml:space="preserve">Best: Are automated workflow tools like GNU Make and CommonWL used to convert raw data into final tables, figures, and summary statistics?</w:t>
      </w:r>
      <w:r>
        <w:t xml:space="preserve"> </w:t>
      </w:r>
      <w:r>
        <w:t xml:space="preserve">A grade of best requires the use of an automation tool and a high level of organization across the project in addition to well documented code.</w:t>
      </w:r>
    </w:p>
    <w:p>
      <w:pPr>
        <w:pStyle w:val="FirstParagraph"/>
      </w:pPr>
      <w:r>
        <w:t xml:space="preserve">These questions demonstrate that the ability to answer</w:t>
      </w:r>
      <w:r>
        <w:t xml:space="preserve"> </w:t>
      </w:r>
      <w:r>
        <w:t xml:space="preserve">“</w:t>
      </w:r>
      <w:r>
        <w:t xml:space="preserve">yes</w:t>
      </w:r>
      <w:r>
        <w:t xml:space="preserve">”</w:t>
      </w:r>
      <w:r>
        <w:t xml:space="preserve"> </w:t>
      </w:r>
      <w:r>
        <w:t xml:space="preserve">is often dependent on using multiple tools. Considering it is an</w:t>
      </w:r>
      <w:r>
        <w:t xml:space="preserve"> </w:t>
      </w:r>
      <w:r>
        <w:t xml:space="preserve">“</w:t>
      </w:r>
      <w:r>
        <w:t xml:space="preserve">aspirational</w:t>
      </w:r>
      <w:r>
        <w:t xml:space="preserve">”</w:t>
      </w:r>
      <w:r>
        <w:t xml:space="preserve"> </w:t>
      </w:r>
      <w:r>
        <w:t xml:space="preserve">rubric, the expectation is not that every practice be rated</w:t>
      </w:r>
      <w:r>
        <w:t xml:space="preserve"> </w:t>
      </w:r>
      <w:r>
        <w:t xml:space="preserve">“</w:t>
      </w:r>
      <w:r>
        <w:t xml:space="preserve">best</w:t>
      </w:r>
      <w:r>
        <w:t xml:space="preserve">”</w:t>
      </w:r>
      <w:r>
        <w:t xml:space="preserve">. Rather, the goal should always be at least good and the scientist should be striving to move to the better and best grades. Teaching to this type of rubric requires both the basic knowledge of how to use the tools, but also the skill to integrate tools to achieve a goal.</w:t>
      </w:r>
    </w:p>
    <w:p>
      <w:pPr>
        <w:pStyle w:val="Compact"/>
        <w:numPr>
          <w:numId w:val="1004"/>
          <w:ilvl w:val="0"/>
        </w:numPr>
      </w:pPr>
      <w:r>
        <w:t xml:space="preserve">youtube videos</w:t>
      </w:r>
    </w:p>
    <w:p>
      <w:pPr>
        <w:pStyle w:val="Compact"/>
        <w:numPr>
          <w:numId w:val="1005"/>
          <w:ilvl w:val="1"/>
        </w:numPr>
      </w:pPr>
      <w:r>
        <w:t xml:space="preserve">short demos of how an individual concept works - no question</w:t>
      </w:r>
    </w:p>
    <w:p>
      <w:pPr>
        <w:pStyle w:val="Compact"/>
        <w:numPr>
          <w:numId w:val="1005"/>
          <w:ilvl w:val="1"/>
        </w:numPr>
      </w:pPr>
      <w:r>
        <w:t xml:space="preserve">live coding of people doing tasks - no question</w:t>
      </w:r>
    </w:p>
    <w:p>
      <w:pPr>
        <w:pStyle w:val="Compact"/>
        <w:numPr>
          <w:numId w:val="1005"/>
          <w:ilvl w:val="1"/>
        </w:numPr>
      </w:pPr>
      <w:r>
        <w:t xml:space="preserve">they are performances and not didactic</w:t>
      </w:r>
    </w:p>
    <w:p>
      <w:pPr>
        <w:pStyle w:val="FirstParagraph"/>
      </w:pPr>
      <w:r>
        <w:rPr>
          <w:i/>
          <w:b/>
        </w:rPr>
        <w:t xml:space="preserve">Teaching portfolio.</w:t>
      </w:r>
      <w:r>
        <w:t xml:space="preserve"> </w:t>
      </w:r>
      <w:r>
        <w:t xml:space="preserve">Over the past 12 years I have taught between 4 and 8 courses per year related to reproducible data analysis skills. Although most of these are 3 day workshops, these have included workshops lasting 2 hours to semester long courses. My teaching has largely been devoted to cover general reproducible research practices including R programming and the use of the mothur software package for analyzing microbial ecology data. More than 1,200 scientists have participated in these workshops. In addition, I am a trained Carpentries Instructor and co-teach one or two Software or Data Carpentry workshops per year. At the University of Michigan, I oversee our local chapter of the Carpentries organization where we discuss coordinating the 10 workshops we teach each year, pedagogical topics, and the development of additional workshop. Prior to 2020, these workshops were taught in person. Prior to the COVID-19 pandemic I had already transitioned to teaching my workshops via Zoom and was well prepared to start teaching the material virtually. In April, I taught a three day, R-based workshop to over 100 participants with the help of four teaching assistants. Between this large workshop and two other virtual workshops I have taught in 2020, I have significantly improved my ability to teach remotely. These experiences demonstrate that I am connected to a large network of scientists who have participated in workshop style learning environments. I will be able to draw upon this network to recruit scientists to continue their learning with the help of virtual Code Club sessions. Furthermore, the depth of my experience shows that I have a unique familiarity with the strengths and weaknesses of different teaching approaches.</w:t>
      </w:r>
      <w:r>
        <w:t xml:space="preserve"> </w:t>
      </w:r>
      <w:r>
        <w:rPr>
          <w:b/>
        </w:rPr>
        <w:t xml:space="preserve">Both my network and deep experience will be significant assets for the proposed Research Eduction Program.</w:t>
      </w:r>
    </w:p>
    <w:p>
      <w:pPr>
        <w:pStyle w:val="BodyText"/>
      </w:pPr>
      <w:r>
        <w:rPr>
          <w:i/>
          <w:b/>
        </w:rPr>
        <w:t xml:space="preserve">Teaching philosophy.</w:t>
      </w:r>
      <w:r>
        <w:t xml:space="preserve"> </w:t>
      </w:r>
      <w:r>
        <w:t xml:space="preserve">It is critical that scientists develop their data analysis skills. Anyone who is honest will acknowledge that they struggle to reproducibly analyze their current data and feel overwhelmed by the growing amount of data that they can generate. The problem will only grow more acute as technology advances. I believe that anyone can learn to analyze their own data. Data analysis is the strongest when the person who designed the experiments and generated the data analyzes with the advice of experts in statistics. The best way to motivate learners to learn the concepts I teach is by answering real world questions rather than with questions derived from simulated or overly abstract datasets (e.g. the mtcars or diamonds datasets, which are popular in R teaching materials). It would be dishonest to teach one set of methods and use a different set for my own professional work. Therefore, to answer these questions, I teach the approaches that I use for my own research. I treat people in my classes as though they were trainees working in my lab that needed skills to create the reproducible papers that we strive to publish. Just as Philip Bourne demonstrated in the anecdote above, the best data scientists have room to grow. With this in mind, I teach with encouraging outlook that asks learners to do better with each new analysis they perform. This incremental approach may feel slow or incomplete. But this approach is far more effective than expecting scientists to take on a large set of skills at once.</w:t>
      </w:r>
    </w:p>
    <w:p>
      <w:pPr>
        <w:pStyle w:val="BodyText"/>
      </w:pPr>
      <w:r>
        <w:t xml:space="preserve">My style of teaching can be seen in the current proposal and in the module I created for work funded under an RFA similar to the current RFA, PAR-XXXX. In that module, I developed a series of 14 modules related to reproducible research practices for microbiome research [REF]. The nearly 14 hours of content is motivated by real world scientific questions, uses live-coding to demonstrate practices, and includes activities for learners to engage in to develop their own skills. The Reproducible Research Module demonstrates my philosophy on teaching scientists reproducible data analysis skills. The current proposal goes beyond the materials developed for the initial phase of the Riffomonas project and more fully integrates my teaching philosophy and the pedagogical goals outlined above. These materials are hosted as part of the Riffomonas Project (https://www.riffomonas.org). This name encapsulates how I have seen others and myself make the greatest gains in learning reproducible methods.</w:t>
      </w:r>
      <w:r>
        <w:t xml:space="preserve"> </w:t>
      </w:r>
      <w:r>
        <w:t xml:space="preserve">“</w:t>
      </w:r>
      <w:r>
        <w:t xml:space="preserve">Riffing</w:t>
      </w:r>
      <w:r>
        <w:t xml:space="preserve">”</w:t>
      </w:r>
      <w:r>
        <w:t xml:space="preserve"> </w:t>
      </w:r>
      <w:r>
        <w:t xml:space="preserve">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how it works and expand upon it to derive solutions to new problems.</w:t>
      </w:r>
    </w:p>
    <w:p>
      <w:pPr>
        <w:pStyle w:val="BodyText"/>
      </w:pPr>
      <w:r>
        <w:rPr>
          <w:i/>
          <w:b/>
        </w:rPr>
        <w:t xml:space="preserve">Code Club.</w:t>
      </w:r>
      <w:r>
        <w:t xml:space="preserve"> </w:t>
      </w:r>
      <w:r>
        <w:t xml:space="preserve">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w:t>
      </w:r>
      <w:r>
        <w:t xml:space="preserve"> </w:t>
      </w:r>
      <w:r>
        <w:t xml:space="preserve">[@Lonsdale2016]</w:t>
      </w:r>
      <w:r>
        <w:t xml:space="preserve">. Over the past 4 years, my research group has leveraged the similarity between the overwhelming nature of both scientific literature and data analysis to address the challenge of teaching reproducible data analysis practices to bench scientists. Over the past four years we have experimented with what we call a Code Club to improve data analysis skills in a community environment. Code Club sessions generally include a brief tutorial, a set of exercises related to the tutorial for participants to work through in a small group, and an opportunity to debrief and report back each group’s solutions. Table 2 includes several examples of successful Code Club topics that we have done within a separate 1-hour long Code Club session.</w:t>
      </w:r>
    </w:p>
    <w:tbl>
      <w:tblPr>
        <w:tblStyle w:val="Table"/>
        <w:tblW w:type="pct" w:w="5000.0"/>
        <w:tblLook w:firstRow="1"/>
      </w:tblPr>
      <w:tblGrid>
        <w:gridCol w:w="2137"/>
        <w:gridCol w:w="5782"/>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Description</w:t>
            </w:r>
          </w:p>
        </w:tc>
      </w:tr>
      <w:tr>
        <w:tc>
          <w:p>
            <w:pPr>
              <w:pStyle w:val="Compact"/>
              <w:jc w:val="left"/>
            </w:pPr>
            <w:r>
              <w:t xml:space="preserve">base vs. ggplot2</w:t>
            </w:r>
          </w:p>
        </w:tc>
        <w:tc>
          <w:p>
            <w:pPr>
              <w:pStyle w:val="Compact"/>
              <w:jc w:val="left"/>
            </w:pPr>
            <w:r>
              <w:t xml:space="preserve">Given input data and a figure, recreate the figure using R’s base graphics or ggplot2 syntax</w:t>
            </w:r>
          </w:p>
        </w:tc>
      </w:tr>
      <w:tr>
        <w:tc>
          <w:p>
            <w:pPr>
              <w:pStyle w:val="Compact"/>
              <w:jc w:val="left"/>
            </w:pPr>
            <w:r>
              <w:t xml:space="preserve">Snakemake</w:t>
            </w:r>
          </w:p>
        </w:tc>
        <w:tc>
          <w:p>
            <w:pPr>
              <w:pStyle w:val="Compact"/>
              <w:jc w:val="left"/>
            </w:pPr>
            <w:r>
              <w:t xml:space="preserve">Given a bash script that contains an analysis pipeline, convert it to a Snakemake workflow (can also be done with GNU Make)</w:t>
            </w:r>
          </w:p>
        </w:tc>
      </w:tr>
      <w:tr>
        <w:tc>
          <w:p>
            <w:pPr>
              <w:pStyle w:val="Compact"/>
              <w:jc w:val="left"/>
            </w:pPr>
            <w:r>
              <w:t xml:space="preserve">DRYing code</w:t>
            </w:r>
          </w:p>
        </w:tc>
        <w:tc>
          <w:p>
            <w:pPr>
              <w:pStyle w:val="Compact"/>
              <w:jc w:val="left"/>
            </w:pPr>
            <w:r>
              <w:t xml:space="preserve">Given script with repeated code, create functions to remove repetition</w:t>
            </w:r>
          </w:p>
        </w:tc>
      </w:tr>
      <w:tr>
        <w:tc>
          <w:p>
            <w:pPr>
              <w:pStyle w:val="Compact"/>
              <w:jc w:val="left"/>
            </w:pPr>
            <w:r>
              <w:t xml:space="preserve">mothur and Vegan</w:t>
            </w:r>
          </w:p>
        </w:tc>
        <w:tc>
          <w:p>
            <w:pPr>
              <w:pStyle w:val="Compact"/>
              <w:jc w:val="left"/>
            </w:pPr>
            <w:r>
              <w:t xml:space="preserve">Given a pairwise community dissimilarity matrix, compare communities using the</w:t>
            </w:r>
            <w:r>
              <w:t xml:space="preserve"> </w:t>
            </w:r>
            <w:r>
              <w:rPr>
                <w:rStyle w:val="VerbatimChar"/>
              </w:rPr>
              <w:t xml:space="preserve">adonis</w:t>
            </w:r>
            <w:r>
              <w:t xml:space="preserve"> </w:t>
            </w:r>
            <w:r>
              <w:t xml:space="preserve">function in the Vegan R package</w:t>
            </w:r>
          </w:p>
        </w:tc>
      </w:tr>
      <w:tr>
        <w:tc>
          <w:p>
            <w:pPr>
              <w:pStyle w:val="Compact"/>
              <w:jc w:val="left"/>
            </w:pPr>
            <w:r>
              <w:t xml:space="preserve">tidy data</w:t>
            </w:r>
          </w:p>
        </w:tc>
        <w:tc>
          <w:p>
            <w:pPr>
              <w:pStyle w:val="Compact"/>
              <w:jc w:val="left"/>
            </w:pPr>
            <w:r>
              <w:t xml:space="preserve">Given a wide-formatted data table, convert it to a long, tidy-formatted data table using tools from R’s tidyverse</w:t>
            </w:r>
          </w:p>
        </w:tc>
      </w:tr>
      <w:tr>
        <w:tc>
          <w:p>
            <w:pPr>
              <w:pStyle w:val="Compact"/>
              <w:jc w:val="left"/>
            </w:pPr>
            <w:r>
              <w:t xml:space="preserve">GitFlow</w:t>
            </w:r>
          </w:p>
        </w:tc>
        <w:tc>
          <w:p>
            <w:pPr>
              <w:pStyle w:val="Compact"/>
              <w:jc w:val="left"/>
            </w:pPr>
            <w:r>
              <w:t xml:space="preserve">Participants file and claim an issue to add their name to a README file in a GitHub-hosted repository and file a pull request to complete the issue</w:t>
            </w:r>
          </w:p>
        </w:tc>
      </w:tr>
      <w:tr>
        <w:tc>
          <w:p>
            <w:pPr>
              <w:pStyle w:val="Compact"/>
              <w:jc w:val="left"/>
            </w:pPr>
            <w:r>
              <w:t xml:space="preserve">R with Google docs</w:t>
            </w:r>
          </w:p>
        </w:tc>
        <w:tc>
          <w:p>
            <w:pPr>
              <w:pStyle w:val="Compact"/>
              <w:jc w:val="left"/>
            </w:pPr>
            <w:r>
              <w:t xml:space="preserve">Scrape a Google docs workbook and clean the data to identify previous Code Club presenters</w:t>
            </w:r>
          </w:p>
        </w:tc>
      </w:tr>
    </w:tbl>
    <w:p>
      <w:pPr>
        <w:pStyle w:val="BodyText"/>
      </w:pPr>
      <w:r>
        <w:t xml:space="preserve">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pPr>
        <w:pStyle w:val="BodyText"/>
      </w:pPr>
      <w:r>
        <w:t xml:space="preserve">With these factors in mind and the isolation many have felt due to the shutdown of research laboratories due to the COVID-19 pandemic, I have experimented with creating virtual Code Club sessions. Initially, the model included live participants on a Zoom call. The synchronous nature of that format made the model unsustainable. More recently, I have created an asynchronous model where a motivating question, tutorial, and set of exercises and their solutions are provided as a blog post with an accompanying video or</w:t>
      </w:r>
      <w:r>
        <w:t xml:space="preserve"> </w:t>
      </w:r>
      <w:r>
        <w:t xml:space="preserve">“</w:t>
      </w:r>
      <w:r>
        <w:t xml:space="preserve">vlog</w:t>
      </w:r>
      <w:r>
        <w:t xml:space="preserve">”</w:t>
      </w:r>
      <w:r>
        <w:t xml:space="preserve"> </w:t>
      </w:r>
      <w:r>
        <w:t xml:space="preserve">posted to YouTube on the Riffomonas project channel (https://www.youtube.com/c/riffomonasproject).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w:t>
      </w:r>
      <w:r>
        <w:t xml:space="preserve"> </w:t>
      </w:r>
      <w:r>
        <w:rPr>
          <w:b/>
        </w:rPr>
        <w:t xml:space="preserve">The development of additional Code Club sessions will significantly enhance the opportunity for participants to strengthen their reproducible data analysis skills through repeated practice, xxxxxxx, xxxxx, and xxxxx.</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participants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my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Participants will then have the opportunity to answer related questions using the concepts they just learned. With a high volume of resources, participants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proposed-research-education-program"/>
      <w:r>
        <w:t xml:space="preserve">Proposed Research Education Program</w:t>
      </w:r>
      <w:bookmarkEnd w:id="26"/>
    </w:p>
    <w:p>
      <w:pPr>
        <w:pStyle w:val="Heading3"/>
      </w:pPr>
      <w:bookmarkStart w:id="27" w:name="X4e15799fff922c679405bb61e3bcdf69a3ac184"/>
      <w:r>
        <w:t xml:space="preserve">Produce Code Club sessions that highlight concepts important for performing rigorous and reproducible data science</w:t>
      </w:r>
      <w:bookmarkEnd w:id="27"/>
    </w:p>
    <w:p>
      <w:pPr>
        <w:pStyle w:val="Heading2"/>
      </w:pPr>
      <w:bookmarkStart w:id="28" w:name="evaluation-plan"/>
      <w:r>
        <w:t xml:space="preserve">Evaluation Plan</w:t>
      </w:r>
      <w:bookmarkEnd w:id="28"/>
    </w:p>
    <w:p>
      <w:pPr>
        <w:pStyle w:val="FirstParagraph"/>
      </w:pPr>
      <w:r>
        <w:rPr>
          <w:b/>
        </w:rPr>
        <w:t xml:space="preserve">As described above, participants will register with the module through a website</w:t>
      </w:r>
      <w:r>
        <w:rPr>
          <w:b/>
        </w:rPr>
        <w:t xml:space="preserve"> </w:t>
      </w:r>
      <w:r>
        <w:rPr>
          <w:b/>
        </w:rPr>
        <w:t xml:space="preserve">where they will provide demographic data. The website will track the amount of</w:t>
      </w:r>
      <w:r>
        <w:rPr>
          <w:b/>
        </w:rPr>
        <w:t xml:space="preserve"> </w:t>
      </w:r>
      <w:r>
        <w:rPr>
          <w:b/>
        </w:rPr>
        <w:t xml:space="preserve">time spent on each item and their responses. The autotutorials will request the</w:t>
      </w:r>
      <w:r>
        <w:rPr>
          <w:b/>
        </w:rPr>
        <w:t xml:space="preserve"> </w:t>
      </w:r>
      <w:r>
        <w:rPr>
          <w:b/>
        </w:rPr>
        <w:t xml:space="preserve">participants’ account name so that it is possible to look for their GitHub</w:t>
      </w:r>
      <w:r>
        <w:rPr>
          <w:b/>
        </w:rPr>
        <w:t xml:space="preserve"> </w:t>
      </w:r>
      <w:r>
        <w:rPr>
          <w:b/>
        </w:rPr>
        <w:t xml:space="preserve">account to track their performance. It is important to note that aside from the</w:t>
      </w:r>
      <w:r>
        <w:rPr>
          <w:b/>
        </w:rPr>
        <w:t xml:space="preserve"> </w:t>
      </w:r>
      <w:r>
        <w:rPr>
          <w:b/>
        </w:rPr>
        <w:t xml:space="preserve">account name, the evaluation will be completely anonymous. In general, it</w:t>
      </w:r>
      <w:r>
        <w:rPr>
          <w:b/>
        </w:rPr>
        <w:t xml:space="preserve"> </w:t>
      </w:r>
      <w:r>
        <w:rPr>
          <w:b/>
        </w:rPr>
        <w:t xml:space="preserve">is not possible to ascertain a person’s identity from their account name. Each</w:t>
      </w:r>
      <w:r>
        <w:rPr>
          <w:b/>
        </w:rPr>
        <w:t xml:space="preserve"> </w:t>
      </w:r>
      <w:r>
        <w:rPr>
          <w:b/>
        </w:rPr>
        <w:t xml:space="preserve">autotutorial will have a variety of quantitative and qualitative assessments</w:t>
      </w:r>
      <w:r>
        <w:rPr>
          <w:b/>
        </w:rPr>
        <w:t xml:space="preserve"> </w:t>
      </w:r>
      <w:r>
        <w:rPr>
          <w:b/>
        </w:rPr>
        <w:t xml:space="preserve">that will allow us to track a participant’s progress through the module. We will</w:t>
      </w:r>
      <w:r>
        <w:rPr>
          <w:b/>
        </w:rPr>
        <w:t xml:space="preserve"> </w:t>
      </w:r>
      <w:r>
        <w:rPr>
          <w:b/>
        </w:rPr>
        <w:t xml:space="preserve">create a badge-based commendation system where participants gain varying points.</w:t>
      </w:r>
      <w:r>
        <w:rPr>
          <w:b/>
        </w:rPr>
        <w:t xml:space="preserve"> </w:t>
      </w:r>
      <w:r>
        <w:rPr>
          <w:b/>
        </w:rPr>
        <w:t xml:space="preserve">In addition, participants will receive a certificate indicating completion of</w:t>
      </w:r>
      <w:r>
        <w:rPr>
          <w:b/>
        </w:rPr>
        <w:t xml:space="preserve"> </w:t>
      </w:r>
      <w:r>
        <w:rPr>
          <w:b/>
        </w:rPr>
        <w:t xml:space="preserve">the program. As we track the participants’ activities within each module we will</w:t>
      </w:r>
      <w:r>
        <w:rPr>
          <w:b/>
        </w:rPr>
        <w:t xml:space="preserve"> </w:t>
      </w:r>
      <w:r>
        <w:rPr>
          <w:b/>
        </w:rPr>
        <w:t xml:space="preserve">also be able to evaluate the usefulness of each activity and modify the content</w:t>
      </w:r>
      <w:r>
        <w:rPr>
          <w:b/>
        </w:rPr>
        <w:t xml:space="preserve"> </w:t>
      </w:r>
      <w:r>
        <w:rPr>
          <w:b/>
        </w:rPr>
        <w:t xml:space="preserve">to overcome misconceptions or confusion in the material. Finally, we will assess</w:t>
      </w:r>
      <w:r>
        <w:rPr>
          <w:b/>
        </w:rPr>
        <w:t xml:space="preserve"> </w:t>
      </w:r>
      <w:r>
        <w:rPr>
          <w:b/>
        </w:rPr>
        <w:t xml:space="preserve">the overall success of the module by sending an automated email to each</w:t>
      </w:r>
      <w:r>
        <w:rPr>
          <w:b/>
        </w:rPr>
        <w:t xml:space="preserve"> </w:t>
      </w:r>
      <w:r>
        <w:rPr>
          <w:b/>
        </w:rPr>
        <w:t xml:space="preserve">participant at 1, 2, and 3-year anniversaries of the date they completed the</w:t>
      </w:r>
      <w:r>
        <w:rPr>
          <w:b/>
        </w:rPr>
        <w:t xml:space="preserve"> </w:t>
      </w:r>
      <w:r>
        <w:rPr>
          <w:b/>
        </w:rPr>
        <w:t xml:space="preserve">module. These emails will invite the participant to complete a survey that</w:t>
      </w:r>
      <w:r>
        <w:rPr>
          <w:b/>
        </w:rPr>
        <w:t xml:space="preserve"> </w:t>
      </w:r>
      <w:r>
        <w:rPr>
          <w:b/>
        </w:rPr>
        <w:t xml:space="preserve">describes their current reproducible research practices. We will monitor how</w:t>
      </w:r>
      <w:r>
        <w:rPr>
          <w:b/>
        </w:rPr>
        <w:t xml:space="preserve"> </w:t>
      </w:r>
      <w:r>
        <w:rPr>
          <w:b/>
        </w:rPr>
        <w:t xml:space="preserve">they have changed relative to when they started the module. The evaluation plan</w:t>
      </w:r>
      <w:r>
        <w:rPr>
          <w:b/>
        </w:rPr>
        <w:t xml:space="preserve"> </w:t>
      </w:r>
      <w:r>
        <w:rPr>
          <w:b/>
        </w:rPr>
        <w:t xml:space="preserve">that we have developed blends quantitative and qualitative measures of the</w:t>
      </w:r>
      <w:r>
        <w:rPr>
          <w:b/>
        </w:rPr>
        <w:t xml:space="preserve"> </w:t>
      </w:r>
      <w:r>
        <w:rPr>
          <w:b/>
        </w:rPr>
        <w:t xml:space="preserve">participants’ learning and behavior as well as the quality of the instructional</w:t>
      </w:r>
      <w:r>
        <w:rPr>
          <w:b/>
        </w:rPr>
        <w:t xml:space="preserve"> </w:t>
      </w:r>
      <w:r>
        <w:rPr>
          <w:b/>
        </w:rPr>
        <w:t xml:space="preserve">materials.</w:t>
      </w:r>
    </w:p>
    <w:p>
      <w:pPr>
        <w:pStyle w:val="Heading2"/>
      </w:pPr>
      <w:bookmarkStart w:id="29" w:name="dissemination-plan"/>
      <w:r>
        <w:t xml:space="preserve">Dissemination Plan</w:t>
      </w:r>
      <w:bookmarkEnd w:id="29"/>
    </w:p>
    <w:p>
      <w:pPr>
        <w:pStyle w:val="FirstParagraph"/>
      </w:pPr>
      <w:r>
        <w:t xml:space="preserve">**We hope that this project will be a seed to engage other developers and the</w:t>
      </w:r>
      <w:r>
        <w:t xml:space="preserve"> </w:t>
      </w:r>
      <w:r>
        <w:t xml:space="preserve">microbiome community to improve the reproducibility of microbiome data analysis.</w:t>
      </w:r>
      <w:r>
        <w:t xml:space="preserve"> </w:t>
      </w:r>
      <w:r>
        <w:t xml:space="preserve">All instructional materials will be made freely available through a</w:t>
      </w:r>
      <w:r>
        <w:t xml:space="preserve"> </w:t>
      </w:r>
      <w:r>
        <w:t xml:space="preserve">website at www.riffomonas.org. To disseminate these materials we will pursue</w:t>
      </w:r>
      <w:r>
        <w:t xml:space="preserve"> </w:t>
      </w:r>
      <w:r>
        <w:t xml:space="preserve">several avenues including:</w:t>
      </w:r>
    </w:p>
    <w:p>
      <w:pPr>
        <w:pStyle w:val="Compact"/>
        <w:numPr>
          <w:numId w:val="1006"/>
          <w:ilvl w:val="0"/>
        </w:numPr>
      </w:pPr>
      <w:r>
        <w:t xml:space="preserve">Social media (e.g. Twitter and blogs) to promote a reproducible microbiome</w:t>
      </w:r>
      <w:r>
        <w:t xml:space="preserve"> </w:t>
      </w:r>
      <w:r>
        <w:t xml:space="preserve">research initiative. This will create enthusiasm in the microbiome community and</w:t>
      </w:r>
      <w:r>
        <w:t xml:space="preserve"> </w:t>
      </w:r>
      <w:r>
        <w:t xml:space="preserve">foster their interest in developing and improving the modules.</w:t>
      </w:r>
    </w:p>
    <w:p>
      <w:pPr>
        <w:pStyle w:val="Compact"/>
        <w:numPr>
          <w:numId w:val="1006"/>
          <w:ilvl w:val="0"/>
        </w:numPr>
      </w:pPr>
      <w:r>
        <w:t xml:space="preserve">At least two manuscripts that will address the issue of reproducibility in</w:t>
      </w:r>
      <w:r>
        <w:t xml:space="preserve"> </w:t>
      </w:r>
      <w:r>
        <w:t xml:space="preserve">microbiome research and the development of our teaching modules.</w:t>
      </w:r>
    </w:p>
    <w:p>
      <w:pPr>
        <w:pStyle w:val="Compact"/>
        <w:numPr>
          <w:numId w:val="1006"/>
          <w:ilvl w:val="0"/>
        </w:numPr>
      </w:pPr>
      <w:r>
        <w:t xml:space="preserve">Microbiome-based e-mailing lists that Schloss (PI) is part of including the</w:t>
      </w:r>
      <w:r>
        <w:t xml:space="preserve"> </w:t>
      </w:r>
      <w:r>
        <w:t xml:space="preserve">extensive mothur mailing list, which currently has more than 3,000 registered</w:t>
      </w:r>
      <w:r>
        <w:t xml:space="preserve"> </w:t>
      </w:r>
      <w:r>
        <w:t xml:space="preserve">users and the Human Microbiome Project Data Analysis and Coordination Center</w:t>
      </w:r>
      <w:r>
        <w:t xml:space="preserve"> </w:t>
      </w:r>
      <w:r>
        <w:t xml:space="preserve">website and mailing list (http://www.hmpdacc.org).</w:t>
      </w:r>
    </w:p>
    <w:p>
      <w:pPr>
        <w:pStyle w:val="Compact"/>
        <w:numPr>
          <w:numId w:val="1006"/>
          <w:ilvl w:val="0"/>
        </w:numPr>
      </w:pPr>
      <w:r>
        <w:t xml:space="preserve">Networking with other microbiome researchers (see letters of support) to</w:t>
      </w:r>
      <w:r>
        <w:t xml:space="preserve"> </w:t>
      </w:r>
      <w:r>
        <w:t xml:space="preserve">facilitate workshops at 3 universities each of the two years of the project (see</w:t>
      </w:r>
      <w:r>
        <w:t xml:space="preserve"> </w:t>
      </w:r>
      <w:r>
        <w:t xml:space="preserve">the letters of support). This will serve to help us develop the modules as well</w:t>
      </w:r>
      <w:r>
        <w:t xml:space="preserve"> </w:t>
      </w:r>
      <w:r>
        <w:t xml:space="preserve">as disseminate the modules.</w:t>
      </w:r>
    </w:p>
    <w:p>
      <w:pPr>
        <w:pStyle w:val="Compact"/>
        <w:numPr>
          <w:numId w:val="1006"/>
          <w:ilvl w:val="0"/>
        </w:numPr>
      </w:pPr>
      <w:r>
        <w:t xml:space="preserve">Utilize our connections within the American Society for Microbiology</w:t>
      </w:r>
      <w:r>
        <w:t xml:space="preserve"> </w:t>
      </w:r>
      <w:r>
        <w:t xml:space="preserve">to advertise the module through</w:t>
      </w:r>
      <w:r>
        <w:t xml:space="preserve"> </w:t>
      </w:r>
      <w:r>
        <w:rPr>
          <w:i/>
        </w:rPr>
        <w:t xml:space="preserve">Microbe</w:t>
      </w:r>
      <w:r>
        <w:t xml:space="preserve"> </w:t>
      </w:r>
      <w:r>
        <w:t xml:space="preserve">magazine and in workshop</w:t>
      </w:r>
      <w:r>
        <w:t xml:space="preserve"> </w:t>
      </w:r>
      <w:r>
        <w:t xml:space="preserve">offerings at the society’s General Meetings in 2016 and 2017 (see letter of</w:t>
      </w:r>
      <w:r>
        <w:t xml:space="preserve"> </w:t>
      </w:r>
      <w:r>
        <w:t xml:space="preserve">support from ASM).</w:t>
      </w:r>
    </w:p>
    <w:p>
      <w:pPr>
        <w:pStyle w:val="FirstParagraph"/>
      </w:pPr>
      <w:r>
        <w:t xml:space="preserve">In addition to www.riffomonas.org, which will host information about the</w:t>
      </w:r>
      <w:r>
        <w:t xml:space="preserve"> </w:t>
      </w:r>
      <w:r>
        <w:t xml:space="preserve">instructional materials, we intend to continue to develop instructional</w:t>
      </w:r>
      <w:r>
        <w:t xml:space="preserve"> </w:t>
      </w:r>
      <w:r>
        <w:t xml:space="preserve">materials and best practices beyond the funded period of this project to foster</w:t>
      </w:r>
      <w:r>
        <w:t xml:space="preserve"> </w:t>
      </w:r>
      <w:r>
        <w:t xml:space="preserve">greater reproducibility in microbiome research (see Future Directions). Once</w:t>
      </w:r>
      <w:r>
        <w:t xml:space="preserve"> </w:t>
      </w:r>
      <w:r>
        <w:t xml:space="preserve">funding for this project has been exhausted, the project should be able to</w:t>
      </w:r>
      <w:r>
        <w:t xml:space="preserve"> </w:t>
      </w:r>
      <w:r>
        <w:t xml:space="preserve">continue on as a democratic, open source, community-supported endeavor. To</w:t>
      </w:r>
      <w:r>
        <w:t xml:space="preserve"> </w:t>
      </w:r>
      <w:r>
        <w:t xml:space="preserve">support this all materials related to the project will be maintained as a public</w:t>
      </w:r>
      <w:r>
        <w:t xml:space="preserve"> </w:t>
      </w:r>
      <w:r>
        <w:t xml:space="preserve">GitHub project repository (www.github.com/riffomonas). In fact, the</w:t>
      </w:r>
      <w:r>
        <w:t xml:space="preserve"> </w:t>
      </w:r>
      <w:r>
        <w:t xml:space="preserve">development of this proposal is available at</w:t>
      </w:r>
      <w:r>
        <w:t xml:space="preserve"> </w:t>
      </w:r>
      <w:r>
        <w:t xml:space="preserve">www.github.com/riffomonas/2020_RR_R25.**</w:t>
      </w:r>
    </w:p>
    <w:p>
      <w:pPr>
        <w:pStyle w:val="Heading2"/>
      </w:pPr>
      <w:bookmarkStart w:id="30" w:name="principal-investigator"/>
      <w:r>
        <w:t xml:space="preserve">Principal Investigator</w:t>
      </w:r>
      <w:bookmarkEnd w:id="30"/>
    </w:p>
    <w:p>
      <w:pPr>
        <w:pStyle w:val="FirstParagraph"/>
      </w:pPr>
      <w:r>
        <w:rPr>
          <w:b/>
        </w:rPr>
        <w:t xml:space="preserve">As indicated by his biosketch and the numerous letters of support, Schloss is a</w:t>
      </w:r>
      <w:r>
        <w:rPr>
          <w:b/>
        </w:rPr>
        <w:t xml:space="preserve"> </w:t>
      </w:r>
      <w:r>
        <w:rPr>
          <w:b/>
        </w:rPr>
        <w:t xml:space="preserve">respected member of the microbiome research community and is an excellent</w:t>
      </w:r>
      <w:r>
        <w:rPr>
          <w:b/>
        </w:rPr>
        <w:t xml:space="preserve"> </w:t>
      </w:r>
      <w:r>
        <w:rPr>
          <w:b/>
        </w:rPr>
        <w:t xml:space="preserve">teacher that is anxious to utilize innovative teaching methods to communicate</w:t>
      </w:r>
      <w:r>
        <w:rPr>
          <w:b/>
        </w:rPr>
        <w:t xml:space="preserve"> </w:t>
      </w:r>
      <w:r>
        <w:rPr>
          <w:b/>
        </w:rPr>
        <w:t xml:space="preserve">complex materials. Over the past 6 years, Schloss has been the PI on 9 research</w:t>
      </w:r>
      <w:r>
        <w:rPr>
          <w:b/>
        </w:rPr>
        <w:t xml:space="preserve"> </w:t>
      </w:r>
      <w:r>
        <w:rPr>
          <w:b/>
        </w:rPr>
        <w:t xml:space="preserve">grants funded by NIH and other agencies including 2 R01 projects related to the</w:t>
      </w:r>
      <w:r>
        <w:rPr>
          <w:b/>
        </w:rPr>
        <w:t xml:space="preserve"> </w:t>
      </w:r>
      <w:r>
        <w:rPr>
          <w:b/>
        </w:rPr>
        <w:t xml:space="preserve">microbiome. He has served as a co-Investigator on 7 additional projects during</w:t>
      </w:r>
      <w:r>
        <w:rPr>
          <w:b/>
        </w:rPr>
        <w:t xml:space="preserve"> </w:t>
      </w:r>
      <w:r>
        <w:rPr>
          <w:b/>
        </w:rPr>
        <w:t xml:space="preserve">that time. From this funding he has published 32 peer-reviewed publications and</w:t>
      </w:r>
      <w:r>
        <w:rPr>
          <w:b/>
        </w:rPr>
        <w:t xml:space="preserve"> </w:t>
      </w:r>
      <w:r>
        <w:rPr>
          <w:b/>
        </w:rPr>
        <w:t xml:space="preserve">he was the senior author on 16 of these studies; all of these studies have</w:t>
      </w:r>
      <w:r>
        <w:rPr>
          <w:b/>
        </w:rPr>
        <w:t xml:space="preserve"> </w:t>
      </w:r>
      <w:r>
        <w:rPr>
          <w:b/>
        </w:rPr>
        <w:t xml:space="preserve">involved research questions related to the microbiome. At the University of</w:t>
      </w:r>
      <w:r>
        <w:rPr>
          <w:b/>
        </w:rPr>
        <w:t xml:space="preserve"> </w:t>
      </w:r>
      <w:r>
        <w:rPr>
          <w:b/>
        </w:rPr>
        <w:t xml:space="preserve">Michigan, Schloss has developed two courses:</w:t>
      </w:r>
      <w:r>
        <w:rPr>
          <w:b/>
        </w:rPr>
        <w:t xml:space="preserve"> </w:t>
      </w:r>
      <w:r>
        <w:rPr>
          <w:i/>
          <w:b/>
        </w:rPr>
        <w:t xml:space="preserve">Symbiosis</w:t>
      </w:r>
      <w:r>
        <w:rPr>
          <w:b/>
        </w:rPr>
        <w:t xml:space="preserve"> </w:t>
      </w:r>
      <w:r>
        <w:rPr>
          <w:b/>
        </w:rPr>
        <w:t xml:space="preserve">and</w:t>
      </w:r>
      <w:r>
        <w:rPr>
          <w:b/>
        </w:rPr>
        <w:t xml:space="preserve"> </w:t>
      </w:r>
      <w:r>
        <w:rPr>
          <w:i/>
          <w:b/>
        </w:rPr>
        <w:t xml:space="preserve">Microbial</w:t>
      </w:r>
      <w:r>
        <w:rPr>
          <w:i/>
          <w:b/>
        </w:rPr>
        <w:t xml:space="preserve"> </w:t>
      </w:r>
      <w:r>
        <w:rPr>
          <w:i/>
          <w:b/>
        </w:rPr>
        <w:t xml:space="preserve">informatics</w:t>
      </w:r>
      <w:r>
        <w:rPr>
          <w:b/>
        </w:rPr>
        <w:t xml:space="preserve">. The latter is a course that is designed to teach microbiologists</w:t>
      </w:r>
      <w:r>
        <w:rPr>
          <w:b/>
        </w:rPr>
        <w:t xml:space="preserve"> </w:t>
      </w:r>
      <w:r>
        <w:rPr>
          <w:b/>
        </w:rPr>
        <w:t xml:space="preserve">in MS and PhD programs and postdocs how to use R. This semester, in preparation</w:t>
      </w:r>
      <w:r>
        <w:rPr>
          <w:b/>
        </w:rPr>
        <w:t xml:space="preserve"> </w:t>
      </w:r>
      <w:r>
        <w:rPr>
          <w:b/>
        </w:rPr>
        <w:t xml:space="preserve">for this proposal, Schloss successfully experimented with using knitr-based</w:t>
      </w:r>
      <w:r>
        <w:rPr>
          <w:b/>
        </w:rPr>
        <w:t xml:space="preserve"> </w:t>
      </w:r>
      <w:r>
        <w:rPr>
          <w:b/>
        </w:rPr>
        <w:t xml:space="preserve">documents and GitHub repositories to submit assignments. In addition, all of his</w:t>
      </w:r>
      <w:r>
        <w:rPr>
          <w:b/>
        </w:rPr>
        <w:t xml:space="preserve"> </w:t>
      </w:r>
      <w:r>
        <w:rPr>
          <w:b/>
        </w:rPr>
        <w:t xml:space="preserve">course materials have been made available through the course’s GitHub site</w:t>
      </w:r>
      <w:r>
        <w:rPr>
          <w:b/>
        </w:rPr>
        <w:t xml:space="preserve"> </w:t>
      </w:r>
      <w:r>
        <w:rPr>
          <w:b/>
        </w:rPr>
        <w:t xml:space="preserve">including the lecture slides that were prepared using the R slidify package that</w:t>
      </w:r>
      <w:r>
        <w:rPr>
          <w:b/>
        </w:rPr>
        <w:t xml:space="preserve"> </w:t>
      </w:r>
      <w:r>
        <w:rPr>
          <w:b/>
        </w:rPr>
        <w:t xml:space="preserve">is based on the knitr package (microbialinformatics.github.io). Although this</w:t>
      </w:r>
      <w:r>
        <w:rPr>
          <w:b/>
        </w:rPr>
        <w:t xml:space="preserve"> </w:t>
      </w:r>
      <w:r>
        <w:rPr>
          <w:b/>
        </w:rPr>
        <w:t xml:space="preserve">course touches on the content of the proposed teaching materials, it focused on</w:t>
      </w:r>
      <w:r>
        <w:rPr>
          <w:b/>
        </w:rPr>
        <w:t xml:space="preserve"> </w:t>
      </w:r>
      <w:r>
        <w:rPr>
          <w:b/>
        </w:rPr>
        <w:t xml:space="preserve">developing R programming skills rather than data analysis practices. This course</w:t>
      </w:r>
      <w:r>
        <w:rPr>
          <w:b/>
        </w:rPr>
        <w:t xml:space="preserve"> </w:t>
      </w:r>
      <w:r>
        <w:rPr>
          <w:b/>
        </w:rPr>
        <w:t xml:space="preserve">and Schloss’s willingness to experiment with the content is indicative of his</w:t>
      </w:r>
      <w:r>
        <w:rPr>
          <w:b/>
        </w:rPr>
        <w:t xml:space="preserve"> </w:t>
      </w:r>
      <w:r>
        <w:rPr>
          <w:b/>
        </w:rPr>
        <w:t xml:space="preserve">innovative approach to teaching. Finally, over the past 7 years, Schloss has</w:t>
      </w:r>
      <w:r>
        <w:rPr>
          <w:b/>
        </w:rPr>
        <w:t xml:space="preserve"> </w:t>
      </w:r>
      <w:r>
        <w:rPr>
          <w:b/>
        </w:rPr>
        <w:t xml:space="preserve">offered 4-5 workshops describing how microbiologists can use mothur and R to</w:t>
      </w:r>
      <w:r>
        <w:rPr>
          <w:b/>
        </w:rPr>
        <w:t xml:space="preserve"> </w:t>
      </w:r>
      <w:r>
        <w:rPr>
          <w:b/>
        </w:rPr>
        <w:t xml:space="preserve">analyze data from microbiome research projects. This experience has given him a</w:t>
      </w:r>
      <w:r>
        <w:rPr>
          <w:b/>
        </w:rPr>
        <w:t xml:space="preserve"> </w:t>
      </w:r>
      <w:r>
        <w:rPr>
          <w:b/>
        </w:rPr>
        <w:t xml:space="preserve">unique perspective into the needs and competencies of the microbiome research</w:t>
      </w:r>
      <w:r>
        <w:rPr>
          <w:b/>
        </w:rPr>
        <w:t xml:space="preserve"> </w:t>
      </w:r>
      <w:r>
        <w:rPr>
          <w:b/>
        </w:rPr>
        <w:t xml:space="preserve">community. Together, these data and experiences indicate Schloss is</w:t>
      </w:r>
      <w:r>
        <w:rPr>
          <w:b/>
        </w:rPr>
        <w:t xml:space="preserve"> </w:t>
      </w:r>
      <w:r>
        <w:rPr>
          <w:b/>
        </w:rPr>
        <w:t xml:space="preserve">“</w:t>
      </w:r>
      <w:r>
        <w:rPr>
          <w:b/>
        </w:rPr>
        <w:t xml:space="preserve">actively</w:t>
      </w:r>
      <w:r>
        <w:rPr>
          <w:b/>
        </w:rPr>
        <w:t xml:space="preserve"> </w:t>
      </w:r>
      <w:r>
        <w:rPr>
          <w:b/>
        </w:rPr>
        <w:t xml:space="preserve">engaged in research in an area related to the mission of NIH, and can organize,</w:t>
      </w:r>
      <w:r>
        <w:rPr>
          <w:b/>
        </w:rPr>
        <w:t xml:space="preserve"> </w:t>
      </w:r>
      <w:r>
        <w:rPr>
          <w:b/>
        </w:rPr>
        <w:t xml:space="preserve">administer, monitor, and evaluate the research education program.</w:t>
      </w:r>
      <w:r>
        <w:rPr>
          <w:b/>
        </w:rPr>
        <w:t xml:space="preserve">”</w:t>
      </w:r>
    </w:p>
    <w:p>
      <w:pPr>
        <w:pStyle w:val="Heading2"/>
      </w:pPr>
      <w:bookmarkStart w:id="31" w:name="institutional-environment-and-commitment"/>
      <w:r>
        <w:t xml:space="preserve">Institutional Environment and Commitment</w:t>
      </w:r>
      <w:bookmarkEnd w:id="31"/>
    </w:p>
    <w:p>
      <w:pPr>
        <w:pStyle w:val="FirstParagraph"/>
      </w:pPr>
      <w:r>
        <w:t xml:space="preserve">Schloss has secured institutional support for this project on multiple levels.</w:t>
      </w:r>
      <w:r>
        <w:t xml:space="preserve"> </w:t>
      </w:r>
      <w:r>
        <w:t xml:space="preserve">First, as indicated by the letter of support from Dr. Bethany Moore, Interim Chair</w:t>
      </w:r>
      <w:r>
        <w:t xml:space="preserve"> </w:t>
      </w:r>
      <w:r>
        <w:t xml:space="preserve">of the Department of Microbiology &amp; Immunology at the University of Michigan</w:t>
      </w:r>
      <w:r>
        <w:t xml:space="preserve"> </w:t>
      </w:r>
      <w:r>
        <w:t xml:space="preserve">School of Medicine, Schloss has the support of the university to gain access to</w:t>
      </w:r>
      <w:r>
        <w:t xml:space="preserve"> </w:t>
      </w:r>
      <w:r>
        <w:t xml:space="preserve">adequate staff, facilities, and educational resources to make the planned</w:t>
      </w:r>
      <w:r>
        <w:t xml:space="preserve"> </w:t>
      </w:r>
      <w:r>
        <w:t xml:space="preserve">research education program successful. Second, Schloss has interacted with the</w:t>
      </w:r>
      <w:r>
        <w:t xml:space="preserve"> </w:t>
      </w:r>
      <w:r>
        <w:t xml:space="preserve">Center for Research on Learning and Teaching (CRLT) at the University of</w:t>
      </w:r>
      <w:r>
        <w:t xml:space="preserve"> </w:t>
      </w:r>
      <w:r>
        <w:t xml:space="preserve">Michigan to plan the assessment program for this project (see letter of support</w:t>
      </w:r>
      <w:r>
        <w:t xml:space="preserve"> </w:t>
      </w:r>
      <w:r>
        <w:t xml:space="preserve">from CRLT). The CRLT provides a mixture of complimentary and fee-based</w:t>
      </w:r>
      <w:r>
        <w:t xml:space="preserve"> </w:t>
      </w:r>
      <w:r>
        <w:t xml:space="preserve">services, but does not participate in projects as personnel on grant proposals.</w:t>
      </w:r>
      <w:r>
        <w:t xml:space="preserve"> </w:t>
      </w:r>
      <w:r>
        <w:t xml:space="preserve">The support provided by CRLT will insure that Schloss it utilizing the latest in</w:t>
      </w:r>
      <w:r>
        <w:t xml:space="preserve"> </w:t>
      </w:r>
      <w:r>
        <w:t xml:space="preserve">pedagogical theory and assessment to develop the proposed teaching modules.</w:t>
      </w:r>
      <w:r>
        <w:t xml:space="preserve"> </w:t>
      </w:r>
      <w:r>
        <w:t xml:space="preserve">Third, as indicated by the letters of support from other researchers at the</w:t>
      </w:r>
      <w:r>
        <w:t xml:space="preserve"> </w:t>
      </w:r>
      <w:r>
        <w:t xml:space="preserve">University of Michigan and across the United States, Schloss has the support and</w:t>
      </w:r>
      <w:r>
        <w:t xml:space="preserve"> </w:t>
      </w:r>
      <w:r>
        <w:t xml:space="preserve">commitment of other investigators to implement this project. They all see the value</w:t>
      </w:r>
      <w:r>
        <w:t xml:space="preserve"> </w:t>
      </w:r>
      <w:r>
        <w:t xml:space="preserve">of developing instructional materials such as those described in this proposal. The</w:t>
      </w:r>
      <w:r>
        <w:t xml:space="preserve"> </w:t>
      </w:r>
      <w:r>
        <w:t xml:space="preserve">multiple levels of commitment and broad support that this proposal enjoys speaks to</w:t>
      </w:r>
      <w:r>
        <w:t xml:space="preserve"> </w:t>
      </w:r>
      <w:r>
        <w:t xml:space="preserve">its importance and the unique qualifications of Schloss to lead the project.</w:t>
      </w:r>
    </w:p>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2020-06-09T21:29:17Z</dcterms:created>
  <dcterms:modified xsi:type="dcterms:W3CDTF">2020-06-09T21:29:17Z</dcterms:modified>
</cp:coreProperties>
</file>

<file path=docProps/custom.xml><?xml version="1.0" encoding="utf-8"?>
<Properties xmlns="http://schemas.openxmlformats.org/officeDocument/2006/custom-properties" xmlns:vt="http://schemas.openxmlformats.org/officeDocument/2006/docPropsVTypes"/>
</file>