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This training has not incorporated data analysis skills into existing courses or by creating stand alone data science courses. Although many programs may require a course in statistics, these courses focus on experimental design and choosing the appropriate statistical tests. They rarely discuss data management, data curation, data visualization, or data dissemination.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limited.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Participants have positive experiences in these workshops and rate the value of the material highly.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t xml:space="preserve">Examples of workshops</w:t>
      </w:r>
    </w:p>
    <w:p>
      <w:pPr>
        <w:pStyle w:val="BodyText"/>
      </w:pPr>
      <w:r>
        <w:t xml:space="preserve">Workshop study</w:t>
      </w:r>
    </w:p>
    <w:p>
      <w:pPr>
        <w:pStyle w:val="BodyText"/>
      </w:pPr>
      <w:r>
        <w:t xml:space="preserve">Pedagogy</w:t>
      </w:r>
      <w:r>
        <w:t xml:space="preserve"> </w:t>
      </w:r>
      <w:r>
        <w:t xml:space="preserve">* Repeated practice vs drill/kill</w:t>
      </w:r>
      <w:r>
        <w:t xml:space="preserve"> </w:t>
      </w:r>
      <w:r>
        <w:t xml:space="preserve">* Chunked learning</w:t>
      </w:r>
      <w:r>
        <w:t xml:space="preserve"> </w:t>
      </w:r>
      <w:r>
        <w:t xml:space="preserve">* Value of testing</w:t>
      </w:r>
      <w:r>
        <w:t xml:space="preserve"> </w:t>
      </w:r>
      <w:r>
        <w:t xml:space="preserve">* Cycle - incomplete mastery before moving on</w:t>
      </w:r>
      <w:r>
        <w:t xml:space="preserve"> </w:t>
      </w:r>
      <w:r>
        <w:t xml:space="preserve">* Deliberate practice</w:t>
      </w:r>
    </w:p>
    <w:p>
      <w:pPr>
        <w:pStyle w:val="BodyText"/>
      </w:pPr>
      <w:r>
        <w:t xml:space="preserve">Short form offerings</w:t>
      </w:r>
      <w:r>
        <w:t xml:space="preserve"> </w:t>
      </w:r>
      <w:r>
        <w:t xml:space="preserve">* online resources</w:t>
      </w:r>
      <w:r>
        <w:t xml:space="preserve"> </w:t>
      </w:r>
      <w:r>
        <w:t xml:space="preserve">- cost</w:t>
      </w:r>
      <w:r>
        <w:t xml:space="preserve"> </w:t>
      </w:r>
      <w:r>
        <w:t xml:space="preserve">- long</w:t>
      </w:r>
      <w:r>
        <w:t xml:space="preserve"> </w:t>
      </w:r>
      <w:r>
        <w:t xml:space="preserve">- lack of community</w:t>
      </w:r>
      <w:r>
        <w:t xml:space="preserve"> </w:t>
      </w:r>
      <w:r>
        <w:t xml:space="preserve">* youtube videos</w:t>
      </w:r>
      <w:r>
        <w:t xml:space="preserve"> </w:t>
      </w:r>
      <w:r>
        <w:t xml:space="preserve">- short demos of how an individual concept works - no question</w:t>
      </w:r>
      <w:r>
        <w:t xml:space="preserve"> </w:t>
      </w:r>
      <w:r>
        <w:t xml:space="preserve">- live coding of people doing tasks - no question</w:t>
      </w:r>
      <w:r>
        <w:t xml:space="preserve"> </w:t>
      </w:r>
      <w:r>
        <w:t xml:space="preserve">- they are performances and not didactic</w:t>
      </w:r>
    </w:p>
    <w:p>
      <w:pPr>
        <w:pStyle w:val="BodyText"/>
      </w:pPr>
      <w:r>
        <w:rPr>
          <w:b/>
        </w:rPr>
        <w:t xml:space="preserve">preliminary results</w:t>
      </w:r>
    </w:p>
    <w:p>
      <w:pPr>
        <w:pStyle w:val="BodyText"/>
      </w:pPr>
      <w:r>
        <w:t xml:space="preserve">Workshops with personal connection</w:t>
      </w:r>
      <w:r>
        <w:t xml:space="preserve"> </w:t>
      </w:r>
      <w:r>
        <w:t xml:space="preserve">* MICRBIOL 612</w:t>
      </w:r>
      <w:r>
        <w:t xml:space="preserve"> </w:t>
      </w:r>
      <w:r>
        <w:t xml:space="preserve">* Carpentries workshops</w:t>
      </w:r>
      <w:r>
        <w:t xml:space="preserve"> </w:t>
      </w:r>
      <w:r>
        <w:t xml:space="preserve">* minimalR/generalR workshops</w:t>
      </w:r>
    </w:p>
    <w:p>
      <w:pPr>
        <w:pStyle w:val="BodyText"/>
      </w:pPr>
      <w:r>
        <w:t xml:space="preserve">Riffomonas</w:t>
      </w:r>
      <w:r>
        <w:t xml:space="preserve"> </w:t>
      </w:r>
      <w:r>
        <w:t xml:space="preserve">* Video series</w:t>
      </w:r>
      <w:r>
        <w:t xml:space="preserve"> </w:t>
      </w:r>
      <w:r>
        <w:t xml:space="preserve">* Stats about views</w:t>
      </w:r>
      <w:r>
        <w:t xml:space="preserve"> </w:t>
      </w:r>
      <w:r>
        <w:t xml:space="preserve">* Publication</w:t>
      </w:r>
      <w:r>
        <w:t xml:space="preserve"> </w:t>
      </w:r>
      <w:r>
        <w:t xml:space="preserve">* This proposal is an extension of the ideas in those videos</w:t>
      </w:r>
    </w:p>
    <w:p>
      <w:pPr>
        <w:pStyle w:val="BodyText"/>
      </w:pPr>
      <w:r>
        <w:t xml:space="preserve">Code Club</w:t>
      </w:r>
      <w:r>
        <w:t xml:space="preserve"> </w:t>
      </w:r>
      <w:r>
        <w:t xml:space="preserve">* Lay out format</w:t>
      </w:r>
      <w:r>
        <w:t xml:space="preserve"> </w:t>
      </w:r>
      <w:r>
        <w:t xml:space="preserve">* Examples of topics</w:t>
      </w:r>
      <w:r>
        <w:t xml:space="preserve"> </w:t>
      </w:r>
      <w:r>
        <w:t xml:space="preserve">* Videos during COVID-19</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participants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my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Participants will then have the opportunity to answer related questions using the concepts they just learned. With a high volume of resources, participants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proposed-research-education-program"/>
      <w:r>
        <w:t xml:space="preserve">Proposed Research Education Program</w:t>
      </w:r>
      <w:bookmarkEnd w:id="26"/>
    </w:p>
    <w:p>
      <w:pPr>
        <w:pStyle w:val="Heading2"/>
      </w:pPr>
      <w:bookmarkStart w:id="27" w:name="evaluation-plan"/>
      <w:r>
        <w:t xml:space="preserve">Evaluation Plan</w:t>
      </w:r>
      <w:bookmarkEnd w:id="27"/>
    </w:p>
    <w:p>
      <w:pPr>
        <w:pStyle w:val="FirstParagraph"/>
      </w:pPr>
      <w:r>
        <w:rPr>
          <w:b/>
        </w:rPr>
        <w:t xml:space="preserve">As described above, participants will register with the module through a website</w:t>
      </w:r>
      <w:r>
        <w:rPr>
          <w:b/>
        </w:rPr>
        <w:t xml:space="preserve"> </w:t>
      </w:r>
      <w:r>
        <w:rPr>
          <w:b/>
        </w:rPr>
        <w:t xml:space="preserve">where they will provide demographic data. The website will track the amount of</w:t>
      </w:r>
      <w:r>
        <w:rPr>
          <w:b/>
        </w:rPr>
        <w:t xml:space="preserve"> </w:t>
      </w:r>
      <w:r>
        <w:rPr>
          <w:b/>
        </w:rPr>
        <w:t xml:space="preserve">time spent on each item and their responses. The autotutorials will request the</w:t>
      </w:r>
      <w:r>
        <w:rPr>
          <w:b/>
        </w:rPr>
        <w:t xml:space="preserve"> </w:t>
      </w:r>
      <w:r>
        <w:rPr>
          <w:b/>
        </w:rPr>
        <w:t xml:space="preserve">participants’ account name so that it is possible to look for their GitHub</w:t>
      </w:r>
      <w:r>
        <w:rPr>
          <w:b/>
        </w:rPr>
        <w:t xml:space="preserve"> </w:t>
      </w:r>
      <w:r>
        <w:rPr>
          <w:b/>
        </w:rPr>
        <w:t xml:space="preserve">account to track their performance. It is important to note that aside from the</w:t>
      </w:r>
      <w:r>
        <w:rPr>
          <w:b/>
        </w:rPr>
        <w:t xml:space="preserve"> </w:t>
      </w:r>
      <w:r>
        <w:rPr>
          <w:b/>
        </w:rPr>
        <w:t xml:space="preserve">account name, the evaluation will be completely anonymous. In general, it</w:t>
      </w:r>
      <w:r>
        <w:rPr>
          <w:b/>
        </w:rPr>
        <w:t xml:space="preserve"> </w:t>
      </w:r>
      <w:r>
        <w:rPr>
          <w:b/>
        </w:rPr>
        <w:t xml:space="preserve">is not possible to ascertain a person’s identity from their account name. Each</w:t>
      </w:r>
      <w:r>
        <w:rPr>
          <w:b/>
        </w:rPr>
        <w:t xml:space="preserve"> </w:t>
      </w:r>
      <w:r>
        <w:rPr>
          <w:b/>
        </w:rPr>
        <w:t xml:space="preserve">autotutorial will have a variety of quantitative and qualitative assessments</w:t>
      </w:r>
      <w:r>
        <w:rPr>
          <w:b/>
        </w:rPr>
        <w:t xml:space="preserve"> </w:t>
      </w:r>
      <w:r>
        <w:rPr>
          <w:b/>
        </w:rPr>
        <w:t xml:space="preserve">that will allow us to track a participant’s progress through the module. We will</w:t>
      </w:r>
      <w:r>
        <w:rPr>
          <w:b/>
        </w:rPr>
        <w:t xml:space="preserve"> </w:t>
      </w:r>
      <w:r>
        <w:rPr>
          <w:b/>
        </w:rPr>
        <w:t xml:space="preserve">create a badge-based commendation system where participants gain varying points.</w:t>
      </w:r>
      <w:r>
        <w:rPr>
          <w:b/>
        </w:rPr>
        <w:t xml:space="preserve"> </w:t>
      </w:r>
      <w:r>
        <w:rPr>
          <w:b/>
        </w:rPr>
        <w:t xml:space="preserve">In addition, participants will receive a certificate indicating completion of</w:t>
      </w:r>
      <w:r>
        <w:rPr>
          <w:b/>
        </w:rPr>
        <w:t xml:space="preserve"> </w:t>
      </w:r>
      <w:r>
        <w:rPr>
          <w:b/>
        </w:rPr>
        <w:t xml:space="preserve">the program. As we track the participants’ activities within each module we will</w:t>
      </w:r>
      <w:r>
        <w:rPr>
          <w:b/>
        </w:rPr>
        <w:t xml:space="preserve"> </w:t>
      </w:r>
      <w:r>
        <w:rPr>
          <w:b/>
        </w:rPr>
        <w:t xml:space="preserve">also be able to evaluate the usefulness of each activity and modify the content</w:t>
      </w:r>
      <w:r>
        <w:rPr>
          <w:b/>
        </w:rPr>
        <w:t xml:space="preserve"> </w:t>
      </w:r>
      <w:r>
        <w:rPr>
          <w:b/>
        </w:rPr>
        <w:t xml:space="preserve">to overcome misconceptions or confusion in the material. Finally, we will assess</w:t>
      </w:r>
      <w:r>
        <w:rPr>
          <w:b/>
        </w:rPr>
        <w:t xml:space="preserve"> </w:t>
      </w:r>
      <w:r>
        <w:rPr>
          <w:b/>
        </w:rPr>
        <w:t xml:space="preserve">the overall success of the module by sending an automated email to each</w:t>
      </w:r>
      <w:r>
        <w:rPr>
          <w:b/>
        </w:rPr>
        <w:t xml:space="preserve"> </w:t>
      </w:r>
      <w:r>
        <w:rPr>
          <w:b/>
        </w:rPr>
        <w:t xml:space="preserve">participant at 1, 2, and 3-year anniversaries of the date they completed the</w:t>
      </w:r>
      <w:r>
        <w:rPr>
          <w:b/>
        </w:rPr>
        <w:t xml:space="preserve"> </w:t>
      </w:r>
      <w:r>
        <w:rPr>
          <w:b/>
        </w:rPr>
        <w:t xml:space="preserve">module. These emails will invite the participant to complete a survey that</w:t>
      </w:r>
      <w:r>
        <w:rPr>
          <w:b/>
        </w:rPr>
        <w:t xml:space="preserve"> </w:t>
      </w:r>
      <w:r>
        <w:rPr>
          <w:b/>
        </w:rPr>
        <w:t xml:space="preserve">describes their current reproducible research practices. We will monitor how</w:t>
      </w:r>
      <w:r>
        <w:rPr>
          <w:b/>
        </w:rPr>
        <w:t xml:space="preserve"> </w:t>
      </w:r>
      <w:r>
        <w:rPr>
          <w:b/>
        </w:rPr>
        <w:t xml:space="preserve">they have changed relative to when they started the module. The evaluation plan</w:t>
      </w:r>
      <w:r>
        <w:rPr>
          <w:b/>
        </w:rPr>
        <w:t xml:space="preserve"> </w:t>
      </w:r>
      <w:r>
        <w:rPr>
          <w:b/>
        </w:rPr>
        <w:t xml:space="preserve">that we have developed blends quantitative and qualitative measures of the</w:t>
      </w:r>
      <w:r>
        <w:rPr>
          <w:b/>
        </w:rPr>
        <w:t xml:space="preserve"> </w:t>
      </w:r>
      <w:r>
        <w:rPr>
          <w:b/>
        </w:rPr>
        <w:t xml:space="preserve">participants’ learning and behavior as well as the quality of the instructional</w:t>
      </w:r>
      <w:r>
        <w:rPr>
          <w:b/>
        </w:rPr>
        <w:t xml:space="preserve"> </w:t>
      </w:r>
      <w:r>
        <w:rPr>
          <w:b/>
        </w:rPr>
        <w:t xml:space="preserve">materials.</w:t>
      </w:r>
    </w:p>
    <w:p>
      <w:pPr>
        <w:pStyle w:val="Heading2"/>
      </w:pPr>
      <w:bookmarkStart w:id="28" w:name="dissemination-plan"/>
      <w:r>
        <w:t xml:space="preserve">Dissemination Plan</w:t>
      </w:r>
      <w:bookmarkEnd w:id="28"/>
    </w:p>
    <w:p>
      <w:pPr>
        <w:pStyle w:val="FirstParagraph"/>
      </w:pPr>
      <w:r>
        <w:t xml:space="preserve">**We hope that this project will be a seed to engage other developers and the</w:t>
      </w:r>
      <w:r>
        <w:t xml:space="preserve"> </w:t>
      </w:r>
      <w:r>
        <w:t xml:space="preserve">microbiome community to improve the reproducibility of microbiome data analysis.</w:t>
      </w:r>
      <w:r>
        <w:t xml:space="preserve"> </w:t>
      </w:r>
      <w:r>
        <w:t xml:space="preserve">All instructional materials will be made freely available through a</w:t>
      </w:r>
      <w:r>
        <w:t xml:space="preserve"> </w:t>
      </w:r>
      <w:r>
        <w:t xml:space="preserve">website at www.riffomonas.org. To disseminate these materials we will pursue</w:t>
      </w:r>
      <w:r>
        <w:t xml:space="preserve"> </w:t>
      </w:r>
      <w:r>
        <w:t xml:space="preserve">several avenues including:</w:t>
      </w:r>
    </w:p>
    <w:p>
      <w:pPr>
        <w:pStyle w:val="Compact"/>
        <w:numPr>
          <w:numId w:val="1001"/>
          <w:ilvl w:val="0"/>
        </w:numPr>
      </w:pPr>
      <w:r>
        <w:t xml:space="preserve">Social media (e.g. Twitter and blogs) to promote a reproducible microbiome</w:t>
      </w:r>
      <w:r>
        <w:t xml:space="preserve"> </w:t>
      </w:r>
      <w:r>
        <w:t xml:space="preserve">research initiative. This will create enthusiasm in the microbiome community and</w:t>
      </w:r>
      <w:r>
        <w:t xml:space="preserve"> </w:t>
      </w:r>
      <w:r>
        <w:t xml:space="preserve">foster their interest in developing and improving the modules.</w:t>
      </w:r>
    </w:p>
    <w:p>
      <w:pPr>
        <w:pStyle w:val="Compact"/>
        <w:numPr>
          <w:numId w:val="1001"/>
          <w:ilvl w:val="0"/>
        </w:numPr>
      </w:pPr>
      <w:r>
        <w:t xml:space="preserve">At least two manuscripts that will address the issue of reproducibility in</w:t>
      </w:r>
      <w:r>
        <w:t xml:space="preserve"> </w:t>
      </w:r>
      <w:r>
        <w:t xml:space="preserve">microbiome research and the development of our teaching modules.</w:t>
      </w:r>
    </w:p>
    <w:p>
      <w:pPr>
        <w:pStyle w:val="Compact"/>
        <w:numPr>
          <w:numId w:val="1001"/>
          <w:ilvl w:val="0"/>
        </w:numPr>
      </w:pPr>
      <w:r>
        <w:t xml:space="preserve">Microbiome-based e-mailing lists that Schloss (PI) is part of including the</w:t>
      </w:r>
      <w:r>
        <w:t xml:space="preserve"> </w:t>
      </w:r>
      <w:r>
        <w:t xml:space="preserve">extensive mothur mailing list, which currently has more than 3,000 registered</w:t>
      </w:r>
      <w:r>
        <w:t xml:space="preserve"> </w:t>
      </w:r>
      <w:r>
        <w:t xml:space="preserve">users and the Human Microbiome Project Data Analysis and Coordination Center</w:t>
      </w:r>
      <w:r>
        <w:t xml:space="preserve"> </w:t>
      </w:r>
      <w:r>
        <w:t xml:space="preserve">website and mailing list (http://www.hmpdacc.org).</w:t>
      </w:r>
    </w:p>
    <w:p>
      <w:pPr>
        <w:pStyle w:val="Compact"/>
        <w:numPr>
          <w:numId w:val="1001"/>
          <w:ilvl w:val="0"/>
        </w:numPr>
      </w:pPr>
      <w:r>
        <w:t xml:space="preserve">Networking with other microbiome researchers (see letters of support) to</w:t>
      </w:r>
      <w:r>
        <w:t xml:space="preserve"> </w:t>
      </w:r>
      <w:r>
        <w:t xml:space="preserve">facilitate workshops at 3 universities each of the two years of the project (see</w:t>
      </w:r>
      <w:r>
        <w:t xml:space="preserve"> </w:t>
      </w:r>
      <w:r>
        <w:t xml:space="preserve">the letters of support). This will serve to help us develop the modules as well</w:t>
      </w:r>
      <w:r>
        <w:t xml:space="preserve"> </w:t>
      </w:r>
      <w:r>
        <w:t xml:space="preserve">as disseminate the modules.</w:t>
      </w:r>
    </w:p>
    <w:p>
      <w:pPr>
        <w:pStyle w:val="Compact"/>
        <w:numPr>
          <w:numId w:val="1001"/>
          <w:ilvl w:val="0"/>
        </w:numPr>
      </w:pPr>
      <w:r>
        <w:t xml:space="preserve">Utilize our connections within the American Society for Microbiology</w:t>
      </w:r>
      <w:r>
        <w:t xml:space="preserve"> </w:t>
      </w:r>
      <w:r>
        <w:t xml:space="preserve">to advertise the module through</w:t>
      </w:r>
      <w:r>
        <w:t xml:space="preserve"> </w:t>
      </w:r>
      <w:r>
        <w:rPr>
          <w:i/>
        </w:rPr>
        <w:t xml:space="preserve">Microbe</w:t>
      </w:r>
      <w:r>
        <w:t xml:space="preserve"> </w:t>
      </w:r>
      <w:r>
        <w:t xml:space="preserve">magazine and in workshop</w:t>
      </w:r>
      <w:r>
        <w:t xml:space="preserve"> </w:t>
      </w:r>
      <w:r>
        <w:t xml:space="preserve">offerings at the society’s General Meetings in 2016 and 2017 (see letter of</w:t>
      </w:r>
      <w:r>
        <w:t xml:space="preserve"> </w:t>
      </w:r>
      <w:r>
        <w:t xml:space="preserve">support from ASM).</w:t>
      </w:r>
    </w:p>
    <w:p>
      <w:pPr>
        <w:pStyle w:val="FirstParagraph"/>
      </w:pPr>
      <w:r>
        <w:t xml:space="preserve">In addition to www.riffomonas.org, which will host information about the</w:t>
      </w:r>
      <w:r>
        <w:t xml:space="preserve"> </w:t>
      </w:r>
      <w:r>
        <w:t xml:space="preserve">instructional materials, we intend to continue to develop instructional</w:t>
      </w:r>
      <w:r>
        <w:t xml:space="preserve"> </w:t>
      </w:r>
      <w:r>
        <w:t xml:space="preserve">materials and best practices beyond the funded period of this project to foster</w:t>
      </w:r>
      <w:r>
        <w:t xml:space="preserve"> </w:t>
      </w:r>
      <w:r>
        <w:t xml:space="preserve">greater reproducibility in microbiome research (see Future Directions). Once</w:t>
      </w:r>
      <w:r>
        <w:t xml:space="preserve"> </w:t>
      </w:r>
      <w:r>
        <w:t xml:space="preserve">funding for this project has been exhausted, the project should be able to</w:t>
      </w:r>
      <w:r>
        <w:t xml:space="preserve"> </w:t>
      </w:r>
      <w:r>
        <w:t xml:space="preserve">continue on as a democratic, open source, community-supported endeavor. To</w:t>
      </w:r>
      <w:r>
        <w:t xml:space="preserve"> </w:t>
      </w:r>
      <w:r>
        <w:t xml:space="preserve">support this all materials related to the project will be maintained as a public</w:t>
      </w:r>
      <w:r>
        <w:t xml:space="preserve"> </w:t>
      </w:r>
      <w:r>
        <w:t xml:space="preserve">GitHub project repository (www.github.com/riffomonas). In fact, the</w:t>
      </w:r>
      <w:r>
        <w:t xml:space="preserve"> </w:t>
      </w:r>
      <w:r>
        <w:t xml:space="preserve">development of this proposal is available at</w:t>
      </w:r>
      <w:r>
        <w:t xml:space="preserve"> </w:t>
      </w:r>
      <w:r>
        <w:t xml:space="preserve">www.github.com/riffomonas/2020_RR_R25.**</w:t>
      </w:r>
    </w:p>
    <w:p>
      <w:pPr>
        <w:pStyle w:val="Heading2"/>
      </w:pPr>
      <w:bookmarkStart w:id="29" w:name="principal-investigator"/>
      <w:r>
        <w:t xml:space="preserve">Principal Investigator</w:t>
      </w:r>
      <w:bookmarkEnd w:id="29"/>
    </w:p>
    <w:p>
      <w:pPr>
        <w:pStyle w:val="FirstParagraph"/>
      </w:pPr>
      <w:r>
        <w:rPr>
          <w:b/>
        </w:rPr>
        <w:t xml:space="preserve">As indicated by his biosketch and the numerous letters of support, Schloss is a</w:t>
      </w:r>
      <w:r>
        <w:rPr>
          <w:b/>
        </w:rPr>
        <w:t xml:space="preserve"> </w:t>
      </w:r>
      <w:r>
        <w:rPr>
          <w:b/>
        </w:rPr>
        <w:t xml:space="preserve">respected member of the microbiome research community and is an excellent</w:t>
      </w:r>
      <w:r>
        <w:rPr>
          <w:b/>
        </w:rPr>
        <w:t xml:space="preserve"> </w:t>
      </w:r>
      <w:r>
        <w:rPr>
          <w:b/>
        </w:rPr>
        <w:t xml:space="preserve">teacher that is anxious to utilize innovative teaching methods to communicate</w:t>
      </w:r>
      <w:r>
        <w:rPr>
          <w:b/>
        </w:rPr>
        <w:t xml:space="preserve"> </w:t>
      </w:r>
      <w:r>
        <w:rPr>
          <w:b/>
        </w:rPr>
        <w:t xml:space="preserve">complex materials. Over the past 6 years, Schloss has been the PI on 9 research</w:t>
      </w:r>
      <w:r>
        <w:rPr>
          <w:b/>
        </w:rPr>
        <w:t xml:space="preserve"> </w:t>
      </w:r>
      <w:r>
        <w:rPr>
          <w:b/>
        </w:rPr>
        <w:t xml:space="preserve">grants funded by NIH and other agencies including 2 R01 projects related to the</w:t>
      </w:r>
      <w:r>
        <w:rPr>
          <w:b/>
        </w:rPr>
        <w:t xml:space="preserve"> </w:t>
      </w:r>
      <w:r>
        <w:rPr>
          <w:b/>
        </w:rPr>
        <w:t xml:space="preserve">microbiome. He has served as a co-Investigator on 7 additional projects during</w:t>
      </w:r>
      <w:r>
        <w:rPr>
          <w:b/>
        </w:rPr>
        <w:t xml:space="preserve"> </w:t>
      </w:r>
      <w:r>
        <w:rPr>
          <w:b/>
        </w:rPr>
        <w:t xml:space="preserve">that time. From this funding he has published 32 peer-reviewed publications and</w:t>
      </w:r>
      <w:r>
        <w:rPr>
          <w:b/>
        </w:rPr>
        <w:t xml:space="preserve"> </w:t>
      </w:r>
      <w:r>
        <w:rPr>
          <w:b/>
        </w:rPr>
        <w:t xml:space="preserve">he was the senior author on 16 of these studies; all of these studies have</w:t>
      </w:r>
      <w:r>
        <w:rPr>
          <w:b/>
        </w:rPr>
        <w:t xml:space="preserve"> </w:t>
      </w:r>
      <w:r>
        <w:rPr>
          <w:b/>
        </w:rPr>
        <w:t xml:space="preserve">involved research questions related to the microbiome. At the University of</w:t>
      </w:r>
      <w:r>
        <w:rPr>
          <w:b/>
        </w:rPr>
        <w:t xml:space="preserve"> </w:t>
      </w:r>
      <w:r>
        <w:rPr>
          <w:b/>
        </w:rPr>
        <w:t xml:space="preserve">Michigan, Schloss has developed two courses:</w:t>
      </w:r>
      <w:r>
        <w:rPr>
          <w:b/>
        </w:rPr>
        <w:t xml:space="preserve"> </w:t>
      </w:r>
      <w:r>
        <w:rPr>
          <w:i/>
          <w:b/>
        </w:rPr>
        <w:t xml:space="preserve">Symbiosis</w:t>
      </w:r>
      <w:r>
        <w:rPr>
          <w:b/>
        </w:rPr>
        <w:t xml:space="preserve"> </w:t>
      </w:r>
      <w:r>
        <w:rPr>
          <w:b/>
        </w:rPr>
        <w:t xml:space="preserve">and</w:t>
      </w:r>
      <w:r>
        <w:rPr>
          <w:b/>
        </w:rPr>
        <w:t xml:space="preserve"> </w:t>
      </w:r>
      <w:r>
        <w:rPr>
          <w:i/>
          <w:b/>
        </w:rPr>
        <w:t xml:space="preserve">Microbial</w:t>
      </w:r>
      <w:r>
        <w:rPr>
          <w:i/>
          <w:b/>
        </w:rPr>
        <w:t xml:space="preserve"> </w:t>
      </w:r>
      <w:r>
        <w:rPr>
          <w:i/>
          <w:b/>
        </w:rPr>
        <w:t xml:space="preserve">informatics</w:t>
      </w:r>
      <w:r>
        <w:rPr>
          <w:b/>
        </w:rPr>
        <w:t xml:space="preserve">. The latter is a course that is designed to teach microbiologists</w:t>
      </w:r>
      <w:r>
        <w:rPr>
          <w:b/>
        </w:rPr>
        <w:t xml:space="preserve"> </w:t>
      </w:r>
      <w:r>
        <w:rPr>
          <w:b/>
        </w:rPr>
        <w:t xml:space="preserve">in MS and PhD programs and postdocs how to use R. This semester, in preparation</w:t>
      </w:r>
      <w:r>
        <w:rPr>
          <w:b/>
        </w:rPr>
        <w:t xml:space="preserve"> </w:t>
      </w:r>
      <w:r>
        <w:rPr>
          <w:b/>
        </w:rPr>
        <w:t xml:space="preserve">for this proposal, Schloss successfully experimented with using knitr-based</w:t>
      </w:r>
      <w:r>
        <w:rPr>
          <w:b/>
        </w:rPr>
        <w:t xml:space="preserve"> </w:t>
      </w:r>
      <w:r>
        <w:rPr>
          <w:b/>
        </w:rPr>
        <w:t xml:space="preserve">documents and GitHub repositories to submit assignments. In addition, all of his</w:t>
      </w:r>
      <w:r>
        <w:rPr>
          <w:b/>
        </w:rPr>
        <w:t xml:space="preserve"> </w:t>
      </w:r>
      <w:r>
        <w:rPr>
          <w:b/>
        </w:rPr>
        <w:t xml:space="preserve">course materials have been made available through the course’s GitHub site</w:t>
      </w:r>
      <w:r>
        <w:rPr>
          <w:b/>
        </w:rPr>
        <w:t xml:space="preserve"> </w:t>
      </w:r>
      <w:r>
        <w:rPr>
          <w:b/>
        </w:rPr>
        <w:t xml:space="preserve">including the lecture slides that were prepared using the R slidify package that</w:t>
      </w:r>
      <w:r>
        <w:rPr>
          <w:b/>
        </w:rPr>
        <w:t xml:space="preserve"> </w:t>
      </w:r>
      <w:r>
        <w:rPr>
          <w:b/>
        </w:rPr>
        <w:t xml:space="preserve">is based on the knitr package (microbialinformatics.github.io). Although this</w:t>
      </w:r>
      <w:r>
        <w:rPr>
          <w:b/>
        </w:rPr>
        <w:t xml:space="preserve"> </w:t>
      </w:r>
      <w:r>
        <w:rPr>
          <w:b/>
        </w:rPr>
        <w:t xml:space="preserve">course touches on the content of the proposed teaching materials, it focused on</w:t>
      </w:r>
      <w:r>
        <w:rPr>
          <w:b/>
        </w:rPr>
        <w:t xml:space="preserve"> </w:t>
      </w:r>
      <w:r>
        <w:rPr>
          <w:b/>
        </w:rPr>
        <w:t xml:space="preserve">developing R programming skills rather than data analysis practices. This course</w:t>
      </w:r>
      <w:r>
        <w:rPr>
          <w:b/>
        </w:rPr>
        <w:t xml:space="preserve"> </w:t>
      </w:r>
      <w:r>
        <w:rPr>
          <w:b/>
        </w:rPr>
        <w:t xml:space="preserve">and Schloss’s willingness to experiment with the content is indicative of his</w:t>
      </w:r>
      <w:r>
        <w:rPr>
          <w:b/>
        </w:rPr>
        <w:t xml:space="preserve"> </w:t>
      </w:r>
      <w:r>
        <w:rPr>
          <w:b/>
        </w:rPr>
        <w:t xml:space="preserve">innovative approach to teaching. Finally, over the past 7 years, Schloss has</w:t>
      </w:r>
      <w:r>
        <w:rPr>
          <w:b/>
        </w:rPr>
        <w:t xml:space="preserve"> </w:t>
      </w:r>
      <w:r>
        <w:rPr>
          <w:b/>
        </w:rPr>
        <w:t xml:space="preserve">offered 4-5 workshops describing how microbiologists can use mothur and R to</w:t>
      </w:r>
      <w:r>
        <w:rPr>
          <w:b/>
        </w:rPr>
        <w:t xml:space="preserve"> </w:t>
      </w:r>
      <w:r>
        <w:rPr>
          <w:b/>
        </w:rPr>
        <w:t xml:space="preserve">analyze data from microbiome research projects. This experience has given him a</w:t>
      </w:r>
      <w:r>
        <w:rPr>
          <w:b/>
        </w:rPr>
        <w:t xml:space="preserve"> </w:t>
      </w:r>
      <w:r>
        <w:rPr>
          <w:b/>
        </w:rPr>
        <w:t xml:space="preserve">unique perspective into the needs and competencies of the microbiome research</w:t>
      </w:r>
      <w:r>
        <w:rPr>
          <w:b/>
        </w:rPr>
        <w:t xml:space="preserve"> </w:t>
      </w:r>
      <w:r>
        <w:rPr>
          <w:b/>
        </w:rPr>
        <w:t xml:space="preserve">community. Together, these data and experiences indicate Schloss is</w:t>
      </w:r>
      <w:r>
        <w:rPr>
          <w:b/>
        </w:rPr>
        <w:t xml:space="preserve"> </w:t>
      </w:r>
      <w:r>
        <w:rPr>
          <w:b/>
        </w:rPr>
        <w:t xml:space="preserve">“</w:t>
      </w:r>
      <w:r>
        <w:rPr>
          <w:b/>
        </w:rPr>
        <w:t xml:space="preserve">actively</w:t>
      </w:r>
      <w:r>
        <w:rPr>
          <w:b/>
        </w:rPr>
        <w:t xml:space="preserve"> </w:t>
      </w:r>
      <w:r>
        <w:rPr>
          <w:b/>
        </w:rPr>
        <w:t xml:space="preserve">engaged in research in an area related to the mission of NIH, and can organize,</w:t>
      </w:r>
      <w:r>
        <w:rPr>
          <w:b/>
        </w:rPr>
        <w:t xml:space="preserve"> </w:t>
      </w:r>
      <w:r>
        <w:rPr>
          <w:b/>
        </w:rPr>
        <w:t xml:space="preserve">administer, monitor, and evaluate the research education program.</w:t>
      </w:r>
      <w:r>
        <w:rPr>
          <w:b/>
        </w:rPr>
        <w:t xml:space="preserve">”</w:t>
      </w:r>
    </w:p>
    <w:p>
      <w:pPr>
        <w:pStyle w:val="Heading2"/>
      </w:pPr>
      <w:bookmarkStart w:id="30" w:name="institutional-environment-and-commitment"/>
      <w:r>
        <w:t xml:space="preserve">Institutional Environment and Commitment</w:t>
      </w:r>
      <w:bookmarkEnd w:id="30"/>
    </w:p>
    <w:p>
      <w:pPr>
        <w:pStyle w:val="FirstParagraph"/>
      </w:pPr>
      <w:r>
        <w:t xml:space="preserve">Schloss has secured institutional support for this project on multiple levels.</w:t>
      </w:r>
      <w:r>
        <w:t xml:space="preserve"> </w:t>
      </w:r>
      <w:r>
        <w:t xml:space="preserve">First, as indicated by the letter of support from Dr. Bethany Moore, Interim Chair</w:t>
      </w:r>
      <w:r>
        <w:t xml:space="preserve"> </w:t>
      </w:r>
      <w:r>
        <w:t xml:space="preserve">of the Department of Microbiology &amp; Immunology at the University of Michigan</w:t>
      </w:r>
      <w:r>
        <w:t xml:space="preserve"> </w:t>
      </w:r>
      <w:r>
        <w:t xml:space="preserve">School of Medicine, Schloss has the support of the university to gain access to</w:t>
      </w:r>
      <w:r>
        <w:t xml:space="preserve"> </w:t>
      </w:r>
      <w:r>
        <w:t xml:space="preserve">adequate staff, facilities, and educational resources to make the planned</w:t>
      </w:r>
      <w:r>
        <w:t xml:space="preserve"> </w:t>
      </w:r>
      <w:r>
        <w:t xml:space="preserve">research education program successful. Second, Schloss has interacted with the</w:t>
      </w:r>
      <w:r>
        <w:t xml:space="preserve"> </w:t>
      </w:r>
      <w:r>
        <w:t xml:space="preserve">Center for Research on Learning and Teaching (CRLT) at the University of</w:t>
      </w:r>
      <w:r>
        <w:t xml:space="preserve"> </w:t>
      </w:r>
      <w:r>
        <w:t xml:space="preserve">Michigan to plan the assessment program for this project (see letter of support</w:t>
      </w:r>
      <w:r>
        <w:t xml:space="preserve"> </w:t>
      </w:r>
      <w:r>
        <w:t xml:space="preserve">from CRLT). The CRLT provides a mixture of complimentary and fee-based</w:t>
      </w:r>
      <w:r>
        <w:t xml:space="preserve"> </w:t>
      </w:r>
      <w:r>
        <w:t xml:space="preserve">services, but does not participate in projects as personnel on grant proposals.</w:t>
      </w:r>
      <w:r>
        <w:t xml:space="preserve"> </w:t>
      </w:r>
      <w:r>
        <w:t xml:space="preserve">The support provided by CRLT will insure that Schloss it utilizing the latest in</w:t>
      </w:r>
      <w:r>
        <w:t xml:space="preserve"> </w:t>
      </w:r>
      <w:r>
        <w:t xml:space="preserve">pedagogical theory and assessment to develop the proposed teaching modules.</w:t>
      </w:r>
      <w:r>
        <w:t xml:space="preserve"> </w:t>
      </w:r>
      <w:r>
        <w:t xml:space="preserve">Third, as indicated by the letters of support from other researchers at the</w:t>
      </w:r>
      <w:r>
        <w:t xml:space="preserve"> </w:t>
      </w:r>
      <w:r>
        <w:t xml:space="preserve">University of Michigan and across the United States, Schloss has the support and</w:t>
      </w:r>
      <w:r>
        <w:t xml:space="preserve"> </w:t>
      </w:r>
      <w:r>
        <w:t xml:space="preserve">commitment of other investigators to implement this project. They all see the value</w:t>
      </w:r>
      <w:r>
        <w:t xml:space="preserve"> </w:t>
      </w:r>
      <w:r>
        <w:t xml:space="preserve">of developing instructional materials such as those described in this proposal. The</w:t>
      </w:r>
      <w:r>
        <w:t xml:space="preserve"> </w:t>
      </w:r>
      <w:r>
        <w:t xml:space="preserve">multiple levels of commitment and broad support that this proposal enjoys speaks to</w:t>
      </w:r>
      <w:r>
        <w:t xml:space="preserve"> </w:t>
      </w:r>
      <w:r>
        <w:t xml:space="preserve">its importance and the unique qualifications of Schloss to lead the project.</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A"/>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2020-06-05T20:30:40Z</dcterms:created>
  <dcterms:modified xsi:type="dcterms:W3CDTF">2020-06-05T20:30:40Z</dcterms:modified>
</cp:coreProperties>
</file>

<file path=docProps/custom.xml><?xml version="1.0" encoding="utf-8"?>
<Properties xmlns="http://schemas.openxmlformats.org/officeDocument/2006/custom-properties" xmlns:vt="http://schemas.openxmlformats.org/officeDocument/2006/docPropsVTypes"/>
</file>