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6"/>
        </w:rPr>
        <w:t>INVOICE</w:t>
      </w:r>
    </w:p>
    <w:p>
      <w:pPr>
        <w:spacing w:after="40"/>
      </w:pPr>
      <w:r>
        <w:rPr>
          <w:rFonts w:ascii="Times New Roman" w:hAnsi="Times New Roman"/>
          <w:sz w:val="24"/>
        </w:rPr>
        <w:t>Tanggal</w:t>
        <w:tab/>
        <w:tab/>
        <w:t xml:space="preserve">:  </w:t>
      </w:r>
      <w:r>
        <w:rPr>
          <w:rFonts w:ascii="Times New Roman" w:hAnsi="Times New Roman"/>
          <w:sz w:val="24"/>
        </w:rPr>
        <w:t>15 Juli 2026</w:t>
      </w:r>
    </w:p>
    <w:p>
      <w:pPr>
        <w:spacing w:after="40"/>
      </w:pPr>
      <w:r>
        <w:rPr>
          <w:rFonts w:ascii="Times New Roman" w:hAnsi="Times New Roman"/>
          <w:sz w:val="24"/>
        </w:rPr>
        <w:t>No Invoice</w:t>
        <w:tab/>
        <w:tab/>
        <w:t xml:space="preserve">:  </w:t>
      </w:r>
      <w:r>
        <w:rPr>
          <w:rFonts w:ascii="Times New Roman" w:hAnsi="Times New Roman"/>
          <w:sz w:val="24"/>
        </w:rPr>
        <w:t>AN-001-VII-2026</w:t>
      </w:r>
    </w:p>
    <w:p>
      <w:pPr>
        <w:spacing w:after="40"/>
      </w:pPr>
      <w:r>
        <w:rPr>
          <w:rFonts w:ascii="Times New Roman" w:hAnsi="Times New Roman"/>
          <w:sz w:val="24"/>
        </w:rPr>
        <w:t>Metode Pembayaran</w:t>
        <w:tab/>
        <w:t xml:space="preserve">:  </w:t>
      </w:r>
      <w:r>
        <w:rPr>
          <w:rFonts w:ascii="Times New Roman" w:hAnsi="Times New Roman"/>
          <w:sz w:val="24"/>
        </w:rPr>
        <w:t>Transfer Bank</w:t>
      </w:r>
    </w:p>
    <w:p>
      <w:pPr>
        <w:spacing w:after="120"/>
      </w:pPr>
      <w:r>
        <w:rPr>
          <w:rFonts w:ascii="Times New Roman" w:hAnsi="Times New Roman"/>
          <w:sz w:val="24"/>
        </w:rPr>
        <w:t>Status</w:t>
        <w:tab/>
        <w:tab/>
        <w:tab/>
        <w:t xml:space="preserve">:  </w:t>
      </w:r>
      <w:r>
        <w:rPr>
          <w:rFonts w:ascii="Times New Roman" w:hAnsi="Times New Roman"/>
          <w:b/>
          <w:color w:val="CC0000"/>
          <w:sz w:val="24"/>
        </w:rPr>
        <w:t>DP 50%</w:t>
      </w:r>
    </w:p>
    <w:p/>
    <w:p>
      <w:pPr>
        <w:spacing w:after="40"/>
      </w:pPr>
      <w:r>
        <w:rPr>
          <w:rFonts w:ascii="Times New Roman" w:hAnsi="Times New Roman"/>
          <w:sz w:val="24"/>
        </w:rPr>
        <w:t>Kepada Yth.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KOPERASI KARYAWAN (KOKARSI)</w:t>
      </w:r>
    </w:p>
    <w:p>
      <w:pPr>
        <w:spacing w:after="40"/>
      </w:pPr>
      <w:r>
        <w:rPr>
          <w:rFonts w:ascii="Times New Roman" w:hAnsi="Times New Roman"/>
          <w:sz w:val="24"/>
        </w:rPr>
        <w:t>PT. SANKYU INDONESIA INTERNASIONAL</w:t>
      </w:r>
    </w:p>
    <w:p>
      <w:pPr>
        <w:spacing w:after="40"/>
      </w:pPr>
      <w:r>
        <w:rPr>
          <w:rFonts w:ascii="Times New Roman" w:hAnsi="Times New Roman"/>
          <w:sz w:val="24"/>
        </w:rPr>
        <w:t>Jl. Kawasan Industri Terpadu Indonesia China (KITIC)</w:t>
      </w:r>
    </w:p>
    <w:p>
      <w:pPr>
        <w:spacing w:after="40"/>
      </w:pPr>
      <w:r>
        <w:rPr>
          <w:rFonts w:ascii="Times New Roman" w:hAnsi="Times New Roman"/>
          <w:sz w:val="24"/>
        </w:rPr>
        <w:t>Kavling No.20 Nagasari Serang Baru</w:t>
      </w:r>
    </w:p>
    <w:p>
      <w:pPr>
        <w:spacing w:after="240"/>
      </w:pPr>
      <w:r>
        <w:rPr>
          <w:rFonts w:ascii="Times New Roman" w:hAnsi="Times New Roman"/>
          <w:sz w:val="24"/>
        </w:rPr>
        <w:t>Bekasi Jawa Barat 17330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Keterangan Pekerjaan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Harga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Aplikasi Manajemen Karyawan Koperasi (KOKARSI)</w:t>
              <w:br/>
              <w:t>berbasis Web (Nuxt 3 + NestJS + PostgreSQL)</w:t>
              <w:br/>
              <w:t>PT. Sankyu Indonesia Internasional Unit Kantor Pusat</w:t>
              <w:br/>
              <w:br/>
              <w:t>Pembayaran Down Payment (DP) 50% dari total proyek</w:t>
              <w:br/>
              <w:t>sebesar Rp. 25.000.000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22"/>
              </w:rPr>
              <w:t>Rp.    12.500.000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2"/>
              </w:rPr>
              <w:t>Sisa pembayaran 50% (pelunasan) setelah aplikasi selesai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Times New Roman" w:hAnsi="Times New Roman"/>
                <w:sz w:val="22"/>
              </w:rPr>
              <w:t>Rp.    12.500.000</w:t>
            </w:r>
          </w:p>
        </w:tc>
      </w:tr>
      <w:tr>
        <w:tc>
          <w:tcPr>
            <w:tcW w:type="dxa" w:w="1134"/>
          </w:tcPr>
          <w:p>
            <w:r/>
          </w:p>
        </w:tc>
        <w:tc>
          <w:tcPr>
            <w:tcW w:type="dxa" w:w="6803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2"/>
              </w:rPr>
              <w:t>Total Proyek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2"/>
              </w:rPr>
              <w:t>Rp.    25.000.000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Note :</w:t>
      </w:r>
    </w:p>
    <w:p>
      <w:pPr>
        <w:spacing w:after="40"/>
        <w:ind w:left="567"/>
      </w:pPr>
      <w:r>
        <w:rPr>
          <w:rFonts w:ascii="Times New Roman" w:hAnsi="Times New Roman"/>
          <w:sz w:val="24"/>
        </w:rPr>
        <w:t>- Pembayaran melalui transfer ke Rek. BCA No. Rekening 1092358377 a/n JAMALUDIN.</w:t>
      </w:r>
    </w:p>
    <w:p>
      <w:pPr>
        <w:spacing w:after="40"/>
        <w:ind w:left="567"/>
      </w:pPr>
      <w:r>
        <w:rPr>
          <w:rFonts w:ascii="Times New Roman" w:hAnsi="Times New Roman"/>
          <w:sz w:val="24"/>
        </w:rPr>
        <w:t>- Bukti transfer dapat di-email ke annahlwebmedia21@gmail.com.</w:t>
      </w:r>
    </w:p>
    <w:p>
      <w:pPr>
        <w:spacing w:after="40"/>
        <w:ind w:left="567"/>
      </w:pPr>
      <w:r>
        <w:rPr>
          <w:rFonts w:ascii="Times New Roman" w:hAnsi="Times New Roman"/>
          <w:sz w:val="24"/>
        </w:rPr>
        <w:t>- DP 50% sebesar Rp. 12.500.000 wajib dibayarkan sebelum pengerjaan proyek dimulai.</w:t>
      </w:r>
    </w:p>
    <w:p>
      <w:pPr>
        <w:spacing w:after="40"/>
        <w:ind w:left="567"/>
      </w:pPr>
      <w:r>
        <w:rPr>
          <w:rFonts w:ascii="Times New Roman" w:hAnsi="Times New Roman"/>
          <w:sz w:val="24"/>
        </w:rPr>
        <w:t>- Sisa pembayaran 50% dilunasi setelah aplikasi selesai dan dilakukan serah terima.</w:t>
      </w:r>
    </w:p>
    <w:p/>
    <w:p>
      <w:r>
        <w:rPr>
          <w:rFonts w:ascii="Times New Roman" w:hAnsi="Times New Roman"/>
          <w:b/>
          <w:sz w:val="24"/>
        </w:rPr>
        <w:t>Garansi :</w:t>
      </w:r>
    </w:p>
    <w:p>
      <w:pPr>
        <w:spacing w:after="80"/>
      </w:pPr>
      <w:r>
        <w:rPr>
          <w:rFonts w:ascii="Times New Roman" w:hAnsi="Times New Roman"/>
          <w:sz w:val="24"/>
        </w:rPr>
        <w:t>Masa garansi 6 bulan pasca serah terima Software yang meliputi Pemeliharaan Software, Anomali pada Script Source Code Software, Keamanan Software dan Pengembangan Lanjutan pada Software.</w:t>
        <w:br/>
        <w:br/>
        <w:t>Setelah melewati masa garansi maka semua poin diatas akan dikenai Charge atas nama AnnahlWebMedia selaku Developer.</w:t>
      </w:r>
    </w:p>
    <w:p/>
    <w:p/>
    <w:p/>
    <w:p/>
    <w:p>
      <w:pPr>
        <w:jc w:val="right"/>
      </w:pPr>
      <w:r>
        <w:rPr>
          <w:rFonts w:ascii="Times New Roman" w:hAnsi="Times New Roman"/>
          <w:sz w:val="24"/>
        </w:rPr>
        <w:t>AnnahlWebMedia</w:t>
      </w:r>
    </w:p>
    <w:p/>
    <w:p/>
    <w:p>
      <w:pPr>
        <w:jc w:val="right"/>
      </w:pPr>
      <w:r>
        <w:rPr>
          <w:rFonts w:ascii="Times New Roman" w:hAnsi="Times New Roman"/>
          <w:b/>
          <w:sz w:val="24"/>
        </w:rPr>
        <w:t>Jamaludin</w:t>
      </w:r>
    </w:p>
    <w:p>
      <w:pPr>
        <w:jc w:val="right"/>
      </w:pPr>
      <w:r>
        <w:rPr>
          <w:rFonts w:ascii="Times New Roman" w:hAnsi="Times New Roman"/>
          <w:sz w:val="24"/>
        </w:rPr>
        <w:t>AnnahlWebMedia</w:t>
      </w:r>
    </w:p>
    <w:p/>
    <w:p>
      <w:r>
        <w:rPr>
          <w:rFonts w:ascii="Times New Roman" w:hAnsi="Times New Roman"/>
          <w:b/>
          <w:sz w:val="24"/>
        </w:rPr>
        <w:t>Terbilang :</w:t>
      </w:r>
    </w:p>
    <w:p>
      <w:r>
        <w:rPr>
          <w:rFonts w:ascii="Times New Roman" w:hAnsi="Times New Roman"/>
          <w:b/>
          <w:sz w:val="28"/>
        </w:rPr>
        <w:t>"DUA BELAS JUTA LIMA RATUS RIBU RUPIAH"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