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 140-configuration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140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140 Konfigurasi64</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(140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5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 (LDA) adalah model probabilistik generatif untuk koleksi data diskrit seperti teks korpus, yang pertama kali diperkenalkan oleh (Blei, Ng, 2003). Asumsi dasar dari LDA adalah bahwa setiap dokumen merupakan campuran dari beberapa topik, dan setiap topik direpresentasikan sebagai distribusi probabilitas atas sejumlah kata di dalam dictionary. Model ini bekerja di balik asumsi bahwa kemunculan kata-kata dalam dokumen disebabkan oleh topik-topik laten (tersembunyi) yang mendasarinya. Parameter utama dalam LDA meliputi α (alpha), yang mengontrol distribusi topik pada tingkat dokumen;  π atau β (eta/beta), yang mengontrol distribusi kata pada tingkat topik; serta K,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grid search otomatis. Berdasarkan pengujian grid search pada 285 dokumen bersih dalam penelitian ini, ditemukan bahwa konfigurasi optimal tercapai pada K=8 topik dengan parameter α = auto dan η = auto, yang kemudian diintegrasikan ke dalam sistem untuk memetakan dokumen skripsi secara akurat.</w:t>
      </w:r>
      <w:r w:rsidRPr="00A3322A">
        <w:rPr>
          <w:rFonts w:ascii="Times New Roman" w:eastAsia="Times New Roman" w:hAnsi="Times New Roman" w:cs="Times New Roman"/>
          <w:noProof/>
          <w:sz w:val="24"/>
          <w:szCs w:val="24"/>
        </w:rPr>
        <w:t xml:space="preserve"/>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lastRenderedPageBreak/>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00231641" w:rsidRPr="00231641">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 312 data mentah repositori, audit kelengkapan teks, dan penanganan anomali HTML.</w:t>
            </w:r>
            <w:r w:rsidRPr="00235A68">
              <w:rPr>
                <w:rFonts w:ascii="Times New Roman" w:eastAsia="Times New Roman" w:hAnsi="Times New Roman" w:cs="Times New Roman"/>
                <w:noProof/>
                <w:sz w:val="20"/>
                <w:szCs w:val="20"/>
              </w:rPr>
              <w:t xml:space="preserve"/>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Entri Indeks Repositori 2021–2025</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Data sumber: 5 berkas HTML indeks repositori,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di-*scrape*</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Judul, penulis, tahun, dan URL terambil untuk seluruh entri</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 (dipakai model)</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Dikurangi 3 dokumen tidak valid, 20 dokumen bertoken &lt; 5, dan 4 duplikat judul</w:t>
            </w:r>
            <w:r>
              <w:rPr>
                <w:rFonts w:ascii="Times New Roman" w:eastAsia="Times New Roman" w:hAnsi="Times New Roman" w:cs="Times New Roman"/>
                <w:noProof/>
                <w:sz w:val="20"/>
                <w:szCs w:val="20"/>
              </w:rPr>
              <w:t xml:space="preserve"/>
            </w:r>
            <w:r w:rsidRPr="00B03E02">
              <w:rPr>
                <w:rFonts w:ascii="Times New Roman" w:eastAsia="Times New Roman" w:hAnsi="Times New Roman" w:cs="Times New Roman"/>
                <w:noProof/>
                <w:sz w:val="20"/>
                <w:szCs w:val="20"/>
              </w:rPr>
              <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(Document ID), lalu secara rekursif membuka setiap halaman detail skripsi guna mengekstrak atribut judul, nama pengarang, tahun terbit, dan teks abstrak. Modul scraper telah diperbarui dengan pola ekspresi reguler (regex) dinamis guna mengatasi inkonsistensi struktur penandaan HTML EPrints, khususnya dokumen yang menempatkan nama penulis di dalam tag &lt;span class="person_name"&gt; maupun tag tautan &lt;a&gt; yang bersarang dengan penanda penekanan &lt;em&gt;. Dari total 312 entri indeks yang terdaftar, teknik ekstraksi ini berhasil mengambil 312 dokumen, sedangkan 20 dokumen sisanya tidak memuat elemen teks abstrak pada halaman web aslinya.</w:t>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noProof/>
          <w:sz w:val="24"/>
          <w:szCs w:val="24"/>
        </w:rPr>
        <w:lastRenderedPageBreak/>
        <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auto),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(noise), tanda baca, serta variasi morfologi kata yang tidak seragam. Fase Data Preparation menjalankan serangkaian tahapan prapemrosesan teks (preprocessing) secara berurutan pada file src/preprocessing.py untuk mengonversi dokumen teks mentah menjadi representasi numerik yang siap dimodelkan. Rangkaian prapemrosesan teks dilakukan melalui 7 tahap sekuensial:</w:t>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(α): symmetric, asymmetric, auto, 0.01, dan 0.1</w:t>
      </w:r>
      <w:r>
        <w:rPr>
          <w:rFonts w:ascii="Times New Roman" w:eastAsia="Times New Roman" w:hAnsi="Times New Roman" w:cs="Times New Roman"/>
          <w:noProof/>
          <w:sz w:val="24"/>
          <w:szCs w:val="24"/>
          <w:lang w:val="en-ID"/>
        </w:rPr>
        <w:t/>
      </w:r>
      <w:r w:rsidRPr="006D05B7">
        <w:rPr>
          <w:rFonts w:ascii="Times New Roman" w:eastAsia="Times New Roman" w:hAnsi="Times New Roman" w:cs="Times New Roman"/>
          <w:noProof/>
          <w:sz w:val="24"/>
          <w:szCs w:val="24"/>
          <w:lang w:val="en-ID"/>
        </w:rPr>
        <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auto,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auto,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src/labeling.py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Penerapan Metode &amp; Framework Sistem Informasi</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Topik 7, dan Topik 8 bersifat heterogen dokumen yang terpetakan ke dalam ketiga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src/forecast.py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11,54%</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10,05%</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9,87%</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13,59%</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13,85%</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16,67%</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13,43%</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13,06%</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Penerapan Metode &amp; Framework Sistem Informasi</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5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Penerapan Metode &amp; Framework Sistem Informasi</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0,68)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Berhasil di-*scrape*</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63 karakter hingga 4.298 karakter per dokumen, dengan rata-rata panjang teks mentah berada pada kisaran 1.545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src/preprocessing.py.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3 tidak valid, 20 bertoken &lt; 5, 4 duplikat judul</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≈6.300 kata unik</w:t>
            </w:r>
            <w:r w:rsidR="00A17B5C" w:rsidRPr="007A419E">
              <w:rPr>
                <w:rFonts w:ascii="Times New Roman" w:hAnsi="Times New Roman" w:cs="Times New Roman"/>
                <w:sz w:val="20"/>
                <w:szCs w:val="20"/>
              </w:rPr>
              <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 ~71% derau leksikal dan variasi imbuhan</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≈1.545 karakter</w:t>
            </w:r>
            <w:r w:rsidR="00A17B5C" w:rsidRPr="007A419E">
              <w:rPr>
                <w:rFonts w:ascii="Times New Roman" w:hAnsi="Times New Roman" w:cs="Times New Roman"/>
                <w:sz w:val="20"/>
                <w:szCs w:val="20"/>
              </w:rPr>
              <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src/grid_search.py. Sebanyak 140 kombinasi konfigurasi diuji secara komprehensif, yang mencakup variasi jumlah topik (K = 4 hingga 10), parameter prior distribusi dokumen-topik (α  {symmetric}, \{asymmetric}, auto, 0.1, 0.01}), serta parameter prior distribusi kata-topik (  {symmetric}, auto, 0.1, 0.01}). Untuk menjaga efisiensi komputasi selama proses eksplorasi 140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0.4124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0.4116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6 Grafik Coherence Score C_V terhadap Jumlah Topik K dari Hasil Grid Search 140 Konfigurasi</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r>
      <w:r w:rsidRPr="00D63CFE">
        <w:rPr>
          <w:rFonts w:ascii="Times New Roman" w:eastAsia="Times New Roman" w:hAnsi="Times New Roman" w:cs="Times New Roman"/>
          <w:b/>
          <w:bCs/>
          <w:i w:val="0"/>
          <w:iCs w:val="0"/>
          <w:noProof/>
          <w:color w:val="auto"/>
          <w:sz w:val="20"/>
          <w:szCs w:val="20"/>
        </w:rPr>
        <w:t/>
      </w:r>
      <w:r>
        <w:rPr>
          <w:rFonts w:ascii="Times New Roman" w:eastAsia="Times New Roman" w:hAnsi="Times New Roman" w:cs="Times New Roman"/>
          <w:b/>
          <w:bCs/>
          <w:i w:val="0"/>
          <w:iCs w:val="0"/>
          <w:noProof/>
          <w:color w:val="auto"/>
          <w:sz w:val="20"/>
          <w:szCs w:val="20"/>
        </w:rPr>
        <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(src/modeling.py) dengan konfigurasi parameter yang disempurnakan: K=8, α=auto,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Pemilihan prior Dirichlet α = auto perlu dijelaskan terpisah, karena Tabel 4.4 memperlihatkan bahwa α = asymmetric menempati empat peringkat teratas pada tahap grid search. Perbandingan diulang setelah K = 8 ditetapkan sebagai jumlah topik final: pada K = 8, konfigurasi α = auto mencapai C_V = 0,3941, lebih tinggi dibandingkan α = asymmetric (0,3823) maupun α = symmetric (0,3871). Dengan demikian, pada K = 8 nilai koherensi terbaik justru diperoleh oleh prior yang diestimasi langsung dari korpus. Perlu dicatat secara jujur bahwa pada K = 8 metrik U_Mass menunjuk arah sebaliknya, yaitu α = asymmetric menghasilkan U_Mass = -9,6445 yang lebih baik dibandingkan α = auto (-9,9311). Pemilihan α = auto dalam penelitian ini mengikuti kriteria seleksi utama yang sama dengan pemilihan K, yaitu C_V, sedangkan perbedaan U_Mass tersebut dicatat sebagai keterbatasan pemilihan prior.</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Penerapan Metode &amp; Framework Sistem Informasi</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src/labeling.py dan disimpan dalam berkas labels.json sebagai satu-satunya sumber kebenaran label dalam sistem. Kesesuaian seluruh delapan label topik telah didiskusikan dan divalidasi bersama dosen pembimbing selaku pakar di bidang Sistem Informasi, sehingga setiap label dapat dipertanggungjawabkan secara akademis.</w:t>
      </w:r>
      <w:r w:rsidRPr="005D0FE7">
        <w:rPr>
          <w:rFonts w:ascii="Times New Roman" w:eastAsia="Times New Roman" w:hAnsi="Times New Roman" w:cs="Times New Roman"/>
          <w:noProof/>
          <w:sz w:val="24"/>
          <w:szCs w:val="24"/>
        </w:rPr>
        <w:lastRenderedPageBreak/>
        <w:t/>
      </w:r>
      <w:r w:rsidR="00F71177">
        <w:rPr>
          <w:rFonts w:ascii="Times New Roman" w:eastAsia="Times New Roman" w:hAnsi="Times New Roman" w:cs="Times New Roman"/>
          <w:noProof/>
          <w:sz w:val="24"/>
          <w:szCs w:val="24"/>
        </w:rPr>
        <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Penerapan Metode &amp; Framework Sistem Informasi</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11,54%</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10,05%</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9,87%</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17,39%</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13,59%</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13,85%</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16,67%</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17,39%</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13,43%</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13,06%</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Penerapan Metode &amp; Framework Sistem Informasi</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α=auto,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Penerapan Metode &amp; Framework Sistem Informasi</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5 dari 8 topik dalam hal rasio MAE terhadap baseline. Topik yang paling diuntungkan oleh pembobotan WMA adalah Topik 8 (Keamanan Informasi &amp; SI Institusi Pendidikan, rasio 0,70) dan Topik 5 (Manajemen Risiko TI &amp; Analitik Data, rasio 0,90). Topik 7 (Penerapan Metode &amp; Framework Sistem Informasi)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Satu keterbatasan tambahan perlu dicatat terkait pemisahan topik. Dari 49 dokumen yang judulnya menunjukkan pola pembangunan sistem, yaitu memuat kata membangun, implementasi, pengembangan, rancang, atau berbasis, hanya 10 dokumen (20,4%) yang topik dominannya berada pada Topik 7. Penyebabnya adalah parameter filter_extremes(no_above=0,40) pada tahap pembangunan kosakata, yang menghapus kata sistem, informasi, aplikasi, web, dan implementasi karena kata-kata tersebut muncul pada lebih dari 40% dokumen; akibatnya sinyal khas rancang bangun tidak tersedia secara diskriminatif bagi model. Konsekuensinya, dokumen yang secara substansi termasuk kategori rancang bangun sistem tersebar ke beberapa topik lain, misalnya dokumen berjudul Rancang Bangun Sistem Diagnosis Penyakit Buta Warna Berbasis Mobile Phone terpetakan pada Topik 5. Sebaliknya, lima dokumen yang berjenis analisis kualitas layanan, kepuasan pengguna, dan analisis sentimen terpetakan pada Topik 7. Penugasan dokumen dalam penelitian ini sengaja tidak diintervensi secara manual agar seluruh hasil tetap merupakan keluaran murni model LDA. Perbaikan pada revisi berikutnya dapat dilakukan melalui penerapan kamus stopword domain eksplisit agar kata kunci yang khas tiap topik tetap tersedia sebagai sinyal.</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Selanjutnya perlu diperhatikan juga tingkat keyakinan model terhadap penugasan dokumen. Distribusi nilai probabilitas maksimum tiap dokumen terhadap topik dominannya bersifat bimodal, yaitu 179 dokumen (62,8%) memiliki nilai lebih dari 0,99 yang menunjukkan penugasan sangat tegas, sedangkan 58 dokumen (20,4%) memiliki nilai di bawah 0,60 yang menandakan dokumen tersebut benar-benar membentang di antara beberapa topik. Hanya 29 dokumen (10,2%) berada pada rentang tengah. Dokumen pada kelompok ketiga inilah yang paling berpotensi menjadi subjek interpretasi ulang, sehingga proporsi topik yang disajikan dalam penelitian ini perlu dibaca sebagai pembagian berdasarkan probabilitas tertinggi dan bukan sebagai klasifikasi yang bebas dari keraguan.</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Fenomena serupa terobservasi pada kelompok dokumen yang memakai metode analitik data. Dari 26 dokumen (9,1%) yang menggunakan algoritma seperti K-Means, Apriori, Eclat, Naive Bayes, C4.5, FP-Growth, ARIMA, dan analisis sentimen, hanya 7 dokumen (26,9%) yang mendarat pada topik yang secara semantik paling dekat dengan analitik data, sedangkan sisanya tersebar pada topik-topik lain; ketiga dokumen K-Means bahkan tidak satu pun masuk ke topik tersebut. Ini menunjukkan bahwa pemisahan antara topik analitik data dan topik evaluasi kualitas pada korpus ini belum sepenuhnya tegas, dan merupakan keterbatasan yang akan diperiksa ulang pada penelitian lanjutan.</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140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