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color w:val="6B7280"/>
          <w:sz w:val="20"/>
          <w:szCs w:val="20"/>
        </w:rPr>
        <w:t xml:space="preserve">Design Document</w:t>
      </w:r>
    </w:p>
    <w:p>
      <w:pPr>
        <w:pBdr>
          <w:bottom w:val="single" w:color="1A56DB" w:sz="8" w:space="1"/>
        </w:pBdr>
        <w:spacing w:before="0" w:after="160"/>
      </w:pPr>
      <w:r>
        <w:rPr>
          <w:rFonts w:ascii="Arial" w:cs="Arial" w:eastAsia="Arial" w:hAnsi="Arial"/>
          <w:b/>
          <w:bCs/>
          <w:color w:val="1A56DB"/>
          <w:sz w:val="64"/>
          <w:szCs w:val="64"/>
        </w:rPr>
        <w:t xml:space="preserve">PasarSim</w:t>
      </w:r>
      <w:r>
        <w:rPr>
          <w:rFonts w:ascii="Arial" w:cs="Arial" w:eastAsia="Arial" w:hAnsi="Arial"/>
          <w:i/>
          <w:iCs/>
          <w:color w:val="6B7280"/>
          <w:sz w:val="36"/>
          <w:szCs w:val="36"/>
        </w:rPr>
        <w:t xml:space="preserve">  —  Simulate Before You Open</w:t>
      </w:r>
    </w:p>
    <w:p>
      <w:pPr>
        <w:spacing w:after="60"/>
      </w:pPr>
      <w:r>
        <w:rPr>
          <w:rFonts w:ascii="Arial" w:cs="Arial" w:eastAsia="Arial" w:hAnsi="Arial"/>
          <w:color w:val="6B7280"/>
          <w:sz w:val="20"/>
          <w:szCs w:val="20"/>
        </w:rPr>
        <w:t xml:space="preserve">Generated: 2026-03-30</w:t>
      </w:r>
    </w:p>
    <w:p>
      <w:pPr>
        <w:spacing w:after="60"/>
      </w:pPr>
      <w:r>
        <w:rPr>
          <w:rFonts w:ascii="Arial" w:cs="Arial" w:eastAsia="Arial" w:hAnsi="Arial"/>
          <w:color w:val="6B7280"/>
          <w:sz w:val="20"/>
          <w:szCs w:val="20"/>
        </w:rPr>
        <w:t xml:space="preserve">Status: DRAFT</w:t>
      </w:r>
    </w:p>
    <w:p>
      <w:pPr>
        <w:spacing w:after="60"/>
      </w:pPr>
      <w:r>
        <w:rPr>
          <w:rFonts w:ascii="Arial" w:cs="Arial" w:eastAsia="Arial" w:hAnsi="Arial"/>
          <w:color w:val="6B7280"/>
          <w:sz w:val="20"/>
          <w:szCs w:val="20"/>
        </w:rPr>
        <w:t xml:space="preserve">Mode: Startup</w:t>
      </w:r>
    </w:p>
    <w:p>
      <w:pPr>
        <w:spacing w:after="60"/>
      </w:pPr>
      <w:r>
        <w:rPr>
          <w:rFonts w:ascii="Arial" w:cs="Arial" w:eastAsia="Arial" w:hAnsi="Arial"/>
          <w:color w:val="6B7280"/>
          <w:sz w:val="20"/>
          <w:szCs w:val="20"/>
        </w:rPr>
        <w:t xml:space="preserve">Target Market: Mid-to-High Level Indonesian UMKMs</w:t>
      </w:r>
    </w:p>
    <w:p>
      <w:pPr>
        <w:pBdr>
          <w:bottom w:val="single" w:color="E5E7EB" w:sz="4" w:space="1"/>
        </w:pBdr>
        <w:spacing w:before="200" w:after="200"/>
      </w:pPr>
    </w:p>
    <w:p>
      <w:pPr>
        <w:pStyle w:val="Heading2"/>
        <w:spacing w:before="280" w:after="120"/>
      </w:pPr>
      <w:r>
        <w:rPr>
          <w:rFonts w:ascii="Arial" w:cs="Arial" w:eastAsia="Arial" w:hAnsi="Arial"/>
          <w:b/>
          <w:bCs/>
          <w:color w:val="1A56DB"/>
          <w:sz w:val="26"/>
          <w:szCs w:val="26"/>
        </w:rPr>
        <w:t xml:space="preserve">Platform Name: PasarSim</w:t>
      </w:r>
    </w:p>
    <w:p>
      <w:pPr>
        <w:spacing w:after="120"/>
      </w:pPr>
      <w:r>
        <w:rPr>
          <w:rFonts w:ascii="Arial" w:cs="Arial" w:eastAsia="Arial" w:hAnsi="Arial"/>
          <w:color w:val="111827"/>
          <w:sz w:val="22"/>
          <w:szCs w:val="22"/>
        </w:rPr>
        <w:t xml:space="preserve">The name combines two ideas: Pasar (Indonesian for 'market' — grounded, local, immediately understood) and Sim (simulation — what the product does). It is short, Bahasa-native, pronounceable in English for investor pitches, and available as a brand identity. No existing Indonesian startup occupies this namespace.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468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Name Option</w:t>
            </w:r>
          </w:p>
        </w:tc>
        <w:tc>
          <w:tcPr>
            <w:tcW w:type="dxa" w:w="468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One-Liner</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PasarSim ✓ Recommended</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Simulate before you open.</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11827"/>
                <w:sz w:val="20"/>
                <w:szCs w:val="20"/>
              </w:rPr>
              <w:t xml:space="preserve">SimPasar</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11827"/>
                <w:sz w:val="20"/>
                <w:szCs w:val="20"/>
              </w:rPr>
              <w:t xml:space="preserve">Test the market — not just your idea.</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PasarData</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Your local market, decoded.</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11827"/>
                <w:sz w:val="20"/>
                <w:szCs w:val="20"/>
              </w:rPr>
              <w:t xml:space="preserve">KlasterID</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11827"/>
                <w:sz w:val="20"/>
                <w:szCs w:val="20"/>
              </w:rPr>
              <w:t xml:space="preserve">Community data, business clarity.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6D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WHY PASARSIM</w:t>
            </w:r>
          </w:p>
        </w:tc>
        <w:tc>
          <w:tcPr>
            <w:tcW w:type="dxa" w:w="8160"/>
            <w:tcBorders>
              <w:top w:val="none" w:color="FFFFFF" w:sz="0"/>
              <w:left w:val="none" w:color="FFFFFF" w:sz="0"/>
              <w:bottom w:val="none" w:color="FFFFFF" w:sz="0"/>
              <w:right w:val="none" w:color="FFFFFF" w:sz="0"/>
            </w:tcBorders>
            <w:shd w:fill="E5EDFF" w:val="clear"/>
            <w:tcMar>
              <w:top w:type="dxa" w:w="120"/>
              <w:left w:type="dxa" w:w="200"/>
              <w:bottom w:type="dxa" w:w="120"/>
              <w:right w:type="dxa" w:w="160"/>
            </w:tcMar>
          </w:tcPr>
          <w:p>
            <w:r>
              <w:rPr>
                <w:rFonts w:ascii="Arial" w:cs="Arial" w:eastAsia="Arial" w:hAnsi="Arial"/>
                <w:i/>
                <w:iCs/>
                <w:color w:val="111827"/>
                <w:sz w:val="22"/>
                <w:szCs w:val="22"/>
              </w:rPr>
              <w:t xml:space="preserve">Short. Bilingual. Does exactly what it says on the label. 'Simulate before you open' answers the core fear of every UMKM owner who has lost money on a launch they couldn't predict.</w:t>
            </w:r>
          </w:p>
        </w:tc>
      </w:tr>
    </w:tbl>
    <w:p>
      <w:pPr>
        <w:spacing w:after="200"/>
      </w:pPr>
    </w:p>
    <w:p>
      <w:pPr>
        <w:pBdr>
          <w:bottom w:val="single" w:color="E5E7EB" w:sz="4" w:space="1"/>
        </w:pBdr>
        <w:spacing w:before="200" w:after="200"/>
      </w:pPr>
    </w:p>
    <w:p>
      <w:pPr>
        <w:pStyle w:val="Heading2"/>
        <w:spacing w:before="280" w:after="120"/>
      </w:pPr>
      <w:r>
        <w:rPr>
          <w:rFonts w:ascii="Arial" w:cs="Arial" w:eastAsia="Arial" w:hAnsi="Arial"/>
          <w:b/>
          <w:bCs/>
          <w:color w:val="1A56DB"/>
          <w:sz w:val="26"/>
          <w:szCs w:val="26"/>
        </w:rPr>
        <w:t xml:space="preserve">Problem Statement</w:t>
      </w:r>
    </w:p>
    <w:p>
      <w:pPr>
        <w:spacing w:after="120"/>
      </w:pPr>
      <w:r>
        <w:rPr>
          <w:rFonts w:ascii="Arial" w:cs="Arial" w:eastAsia="Arial" w:hAnsi="Arial"/>
          <w:color w:val="111827"/>
          <w:sz w:val="22"/>
          <w:szCs w:val="22"/>
        </w:rPr>
        <w:t xml:space="preserve">Indonesia's 65.5 million UMKMs contribute 61% of national GDP — yet almost none of them have access to localized, affordable market intelligence before making a major business decision. A cafe owner in Gading Serpong wanting to open a premium matcha place today has three options:</w:t>
      </w:r>
    </w:p>
    <w:p>
      <w:pPr>
        <w:spacing w:after="80"/>
      </w:pPr>
    </w:p>
    <w:p>
      <w:pPr>
        <w:pStyle w:val="ListParagraph"/>
        <w:numPr>
          <w:ilvl w:val="0"/>
          <w:numId w:val="2"/>
        </w:numPr>
        <w:spacing w:after="80"/>
      </w:pPr>
      <w:r>
        <w:rPr>
          <w:rFonts w:ascii="Arial" w:cs="Arial" w:eastAsia="Arial" w:hAnsi="Arial"/>
          <w:b w:val="false"/>
          <w:bCs w:val="false"/>
          <w:color w:val="111827"/>
          <w:sz w:val="22"/>
          <w:szCs w:val="22"/>
        </w:rPr>
        <w:t xml:space="preserve">Gut feel — the most common approach. No data. High risk.</w:t>
      </w:r>
    </w:p>
    <w:p>
      <w:pPr>
        <w:pStyle w:val="ListParagraph"/>
        <w:numPr>
          <w:ilvl w:val="0"/>
          <w:numId w:val="2"/>
        </w:numPr>
        <w:spacing w:after="80"/>
      </w:pPr>
      <w:r>
        <w:rPr>
          <w:rFonts w:ascii="Arial" w:cs="Arial" w:eastAsia="Arial" w:hAnsi="Arial"/>
          <w:b w:val="false"/>
          <w:bCs w:val="false"/>
          <w:color w:val="111827"/>
          <w:sz w:val="22"/>
          <w:szCs w:val="22"/>
        </w:rPr>
        <w:t xml:space="preserve">Manual research — time-intensive, expensive in effort, and still incomplete.</w:t>
      </w:r>
    </w:p>
    <w:p>
      <w:pPr>
        <w:pStyle w:val="ListParagraph"/>
        <w:numPr>
          <w:ilvl w:val="0"/>
          <w:numId w:val="2"/>
        </w:numPr>
        <w:spacing w:after="80"/>
      </w:pPr>
      <w:r>
        <w:rPr>
          <w:rFonts w:ascii="Arial" w:cs="Arial" w:eastAsia="Arial" w:hAnsi="Arial"/>
          <w:b w:val="false"/>
          <w:bCs w:val="false"/>
          <w:color w:val="111827"/>
          <w:sz w:val="22"/>
          <w:szCs w:val="22"/>
        </w:rPr>
        <w:t xml:space="preserve">Enterprise market research firms — priced for corporations, not for UMKM owners writing Rp 200M business plans.</w:t>
      </w:r>
    </w:p>
    <w:p>
      <w:pPr>
        <w:spacing w:after="100"/>
      </w:pPr>
    </w:p>
    <w:p>
      <w:pPr>
        <w:spacing w:after="120"/>
      </w:pPr>
      <w:r>
        <w:rPr>
          <w:rFonts w:ascii="Arial" w:cs="Arial" w:eastAsia="Arial" w:hAnsi="Arial"/>
          <w:color w:val="111827"/>
          <w:sz w:val="22"/>
          <w:szCs w:val="22"/>
        </w:rPr>
        <w:t xml:space="preserve">The result: capital wasted on wrong locations, wrong menus, wrong positioning — and no way to know it before the lease is signed. Meanwhile, global AI tools (ChatGPT, etc.) are trained on Western behavior data with no understanding of how people in Tangerang decide where to eat, or what makes a Gading Serpong crowd tick.</w:t>
      </w:r>
    </w:p>
    <w:p>
      <w:pPr>
        <w:spacing w:after="100"/>
      </w:pPr>
    </w:p>
    <w:p>
      <w:pPr>
        <w:spacing w:after="120"/>
      </w:pPr>
      <w:r>
        <w:rPr>
          <w:rFonts w:ascii="Arial" w:cs="Arial" w:eastAsia="Arial" w:hAnsi="Arial"/>
          <w:color w:val="111827"/>
          <w:sz w:val="22"/>
          <w:szCs w:val="22"/>
        </w:rPr>
        <w:t xml:space="preserve">PasarSim closes this gap: a simulation platform that lets business owners test a business concept against real, localized, community-validated cluster data — before spending a single rupiah on rent or inventory.</w:t>
      </w:r>
    </w:p>
    <w:p>
      <w:pPr>
        <w:spacing w:after="200"/>
      </w:pPr>
    </w:p>
    <w:p>
      <w:pPr>
        <w:pBdr>
          <w:bottom w:val="single" w:color="E5E7EB" w:sz="4" w:space="1"/>
        </w:pBdr>
        <w:spacing w:before="200" w:after="200"/>
      </w:pPr>
    </w:p>
    <w:p>
      <w:pPr>
        <w:pStyle w:val="Heading2"/>
        <w:spacing w:before="280" w:after="120"/>
      </w:pPr>
      <w:r>
        <w:rPr>
          <w:rFonts w:ascii="Arial" w:cs="Arial" w:eastAsia="Arial" w:hAnsi="Arial"/>
          <w:b/>
          <w:bCs/>
          <w:color w:val="1A56DB"/>
          <w:sz w:val="26"/>
          <w:szCs w:val="26"/>
        </w:rPr>
        <w:t xml:space="preserve">Demand Evidence</w:t>
      </w:r>
    </w:p>
    <w:p>
      <w:pPr>
        <w:pStyle w:val="ListParagraph"/>
        <w:numPr>
          <w:ilvl w:val="0"/>
          <w:numId w:val="2"/>
        </w:numPr>
        <w:spacing w:after="80"/>
      </w:pPr>
      <w:r>
        <w:rPr>
          <w:rFonts w:ascii="Arial" w:cs="Arial" w:eastAsia="Arial" w:hAnsi="Arial"/>
          <w:b w:val="false"/>
          <w:bCs w:val="false"/>
          <w:color w:val="111827"/>
          <w:sz w:val="22"/>
          <w:szCs w:val="22"/>
        </w:rPr>
        <w:t xml:space="preserve">65.5M UMKMs, 61% of national GDP — the segment is enormous and underserved by existing tools.</w:t>
      </w:r>
    </w:p>
    <w:p>
      <w:pPr>
        <w:pStyle w:val="ListParagraph"/>
        <w:numPr>
          <w:ilvl w:val="0"/>
          <w:numId w:val="2"/>
        </w:numPr>
        <w:spacing w:after="80"/>
      </w:pPr>
      <w:r>
        <w:rPr>
          <w:rFonts w:ascii="Arial" w:cs="Arial" w:eastAsia="Arial" w:hAnsi="Arial"/>
          <w:b w:val="false"/>
          <w:bCs w:val="false"/>
          <w:color w:val="111827"/>
          <w:sz w:val="22"/>
          <w:szCs w:val="22"/>
        </w:rPr>
        <w:t xml:space="preserve">Companies burning R&amp;D budget on AI tools with no Indonesian market fit.</w:t>
      </w:r>
    </w:p>
    <w:p>
      <w:pPr>
        <w:pStyle w:val="ListParagraph"/>
        <w:numPr>
          <w:ilvl w:val="0"/>
          <w:numId w:val="2"/>
        </w:numPr>
        <w:spacing w:after="80"/>
      </w:pPr>
      <w:r>
        <w:rPr>
          <w:rFonts w:ascii="Arial" w:cs="Arial" w:eastAsia="Arial" w:hAnsi="Arial"/>
          <w:b w:val="false"/>
          <w:bCs w:val="false"/>
          <w:color w:val="111827"/>
          <w:sz w:val="22"/>
          <w:szCs w:val="22"/>
        </w:rPr>
        <w:t xml:space="preserve">$140B global market research industry exists because this pain is real and enterprises pay for it — UMKMs deserve the same intelligence at their price point.</w:t>
      </w:r>
    </w:p>
    <w:p>
      <w:pPr>
        <w:pStyle w:val="ListParagraph"/>
        <w:numPr>
          <w:ilvl w:val="0"/>
          <w:numId w:val="2"/>
        </w:numPr>
        <w:spacing w:after="80"/>
      </w:pPr>
      <w:r>
        <w:rPr>
          <w:rFonts w:ascii="Arial" w:cs="Arial" w:eastAsia="Arial" w:hAnsi="Arial"/>
          <w:b w:val="false"/>
          <w:bCs w:val="false"/>
          <w:color w:val="111827"/>
          <w:sz w:val="22"/>
          <w:szCs w:val="22"/>
        </w:rPr>
        <w:t xml:space="preserve">Indonesian UMKMs already pay Rp 300K–500K/month for SaaS tools: Canva Pro, Meta Ads, Jurnal accounting. Willingness to pay for useful tools is established.</w:t>
      </w:r>
    </w:p>
    <w:p>
      <w:pPr>
        <w:pStyle w:val="ListParagraph"/>
        <w:numPr>
          <w:ilvl w:val="0"/>
          <w:numId w:val="2"/>
        </w:numPr>
        <w:spacing w:after="80"/>
      </w:pPr>
      <w:r>
        <w:rPr>
          <w:rFonts w:ascii="Arial" w:cs="Arial" w:eastAsia="Arial" w:hAnsi="Arial"/>
          <w:b w:val="false"/>
          <w:bCs w:val="false"/>
          <w:color w:val="111827"/>
          <w:sz w:val="22"/>
          <w:szCs w:val="22"/>
        </w:rPr>
        <w:t xml:space="preserve">Artificial Societies (global competitor) reached 15,000 users at $40/month — market demand for pre-launch simulation is validated globally.</w:t>
      </w:r>
    </w:p>
    <w:p>
      <w:pPr>
        <w:pStyle w:val="ListParagraph"/>
        <w:numPr>
          <w:ilvl w:val="0"/>
          <w:numId w:val="2"/>
        </w:numPr>
        <w:spacing w:after="80"/>
      </w:pPr>
      <w:r>
        <w:rPr>
          <w:rFonts w:ascii="Arial" w:cs="Arial" w:eastAsia="Arial" w:hAnsi="Arial"/>
          <w:b w:val="false"/>
          <w:bCs w:val="false"/>
          <w:color w:val="111827"/>
          <w:sz w:val="22"/>
          <w:szCs w:val="22"/>
        </w:rPr>
        <w:t xml:space="preserve">No Indonesian platform currently provides hyperlocal, community-sourced cluster data for UMKM simulation use cases.</w:t>
      </w:r>
    </w:p>
    <w:p>
      <w:pPr>
        <w:spacing w:after="100"/>
      </w:pPr>
    </w:p>
    <w:p>
      <w:pPr>
        <w:spacing w:after="120"/>
      </w:pPr>
      <w:r>
        <w:rPr>
          <w:rFonts w:ascii="Arial" w:cs="Arial" w:eastAsia="Arial" w:hAnsi="Arial"/>
          <w:i/>
          <w:iCs/>
          <w:color w:val="6B7280"/>
          <w:sz w:val="22"/>
          <w:szCs w:val="22"/>
        </w:rPr>
        <w:t xml:space="preserve">Gap: No direct Indonesian customer validation yet. First assignment: talk to 10 UMKM owners in Jabodetabek before any code is written. See Appendix A.</w:t>
      </w:r>
    </w:p>
    <w:p>
      <w:pPr>
        <w:spacing w:after="200"/>
      </w:pPr>
    </w:p>
    <w:p>
      <w:pPr>
        <w:pBdr>
          <w:bottom w:val="single" w:color="E5E7EB" w:sz="4" w:space="1"/>
        </w:pBdr>
        <w:spacing w:before="200" w:after="200"/>
      </w:pPr>
    </w:p>
    <w:p>
      <w:pPr>
        <w:pStyle w:val="Heading2"/>
        <w:spacing w:before="280" w:after="120"/>
      </w:pPr>
      <w:r>
        <w:rPr>
          <w:rFonts w:ascii="Arial" w:cs="Arial" w:eastAsia="Arial" w:hAnsi="Arial"/>
          <w:b/>
          <w:bCs/>
          <w:color w:val="1A56DB"/>
          <w:sz w:val="26"/>
          <w:szCs w:val="26"/>
        </w:rPr>
        <w:t xml:space="preserve">Status Quo</w:t>
      </w:r>
    </w:p>
    <w:p>
      <w:pPr>
        <w:spacing w:after="120"/>
      </w:pPr>
      <w:r>
        <w:rPr>
          <w:rFonts w:ascii="Arial" w:cs="Arial" w:eastAsia="Arial" w:hAnsi="Arial"/>
          <w:color w:val="111827"/>
          <w:sz w:val="22"/>
          <w:szCs w:val="22"/>
        </w:rPr>
        <w:t xml:space="preserve">Current UMKM decision process for opening a new location or launching a new product:</w:t>
      </w:r>
    </w:p>
    <w:p>
      <w:pPr>
        <w:spacing w:after="80"/>
      </w:pPr>
    </w:p>
    <w:p>
      <w:pPr>
        <w:pStyle w:val="ListParagraph"/>
        <w:numPr>
          <w:ilvl w:val="0"/>
          <w:numId w:val="3"/>
        </w:numPr>
        <w:spacing w:after="80"/>
      </w:pPr>
      <w:r>
        <w:rPr>
          <w:rFonts w:ascii="Arial" w:cs="Arial" w:eastAsia="Arial" w:hAnsi="Arial"/>
          <w:color w:val="111827"/>
          <w:sz w:val="22"/>
          <w:szCs w:val="22"/>
        </w:rPr>
        <w:t xml:space="preserve">Walk the area. Count foot traffic by hand. Talk to a few people.</w:t>
      </w:r>
    </w:p>
    <w:p>
      <w:pPr>
        <w:pStyle w:val="ListParagraph"/>
        <w:numPr>
          <w:ilvl w:val="0"/>
          <w:numId w:val="3"/>
        </w:numPr>
        <w:spacing w:after="80"/>
      </w:pPr>
      <w:r>
        <w:rPr>
          <w:rFonts w:ascii="Arial" w:cs="Arial" w:eastAsia="Arial" w:hAnsi="Arial"/>
          <w:color w:val="111827"/>
          <w:sz w:val="22"/>
          <w:szCs w:val="22"/>
        </w:rPr>
        <w:t xml:space="preserve">Check competitor Instagram pages and Gofood/Grabfood ratings. Draw conclusions from limited signals.</w:t>
      </w:r>
    </w:p>
    <w:p>
      <w:pPr>
        <w:pStyle w:val="ListParagraph"/>
        <w:numPr>
          <w:ilvl w:val="0"/>
          <w:numId w:val="3"/>
        </w:numPr>
        <w:spacing w:after="80"/>
      </w:pPr>
      <w:r>
        <w:rPr>
          <w:rFonts w:ascii="Arial" w:cs="Arial" w:eastAsia="Arial" w:hAnsi="Arial"/>
          <w:color w:val="111827"/>
          <w:sz w:val="22"/>
          <w:szCs w:val="22"/>
        </w:rPr>
        <w:t xml:space="preserve">Ask friends and family — a biased sample.</w:t>
      </w:r>
    </w:p>
    <w:p>
      <w:pPr>
        <w:pStyle w:val="ListParagraph"/>
        <w:numPr>
          <w:ilvl w:val="0"/>
          <w:numId w:val="3"/>
        </w:numPr>
        <w:spacing w:after="80"/>
      </w:pPr>
      <w:r>
        <w:rPr>
          <w:rFonts w:ascii="Arial" w:cs="Arial" w:eastAsia="Arial" w:hAnsi="Arial"/>
          <w:color w:val="111827"/>
          <w:sz w:val="22"/>
          <w:szCs w:val="22"/>
        </w:rPr>
        <w:t xml:space="preserve">Consult a market research firm if budget allows — minimum Rp 50–100M for a proper study.</w:t>
      </w:r>
    </w:p>
    <w:p>
      <w:pPr>
        <w:pStyle w:val="ListParagraph"/>
        <w:numPr>
          <w:ilvl w:val="0"/>
          <w:numId w:val="3"/>
        </w:numPr>
        <w:spacing w:after="80"/>
      </w:pPr>
      <w:r>
        <w:rPr>
          <w:rFonts w:ascii="Arial" w:cs="Arial" w:eastAsia="Arial" w:hAnsi="Arial"/>
          <w:color w:val="111827"/>
          <w:sz w:val="22"/>
          <w:szCs w:val="22"/>
        </w:rPr>
        <w:t xml:space="preserve">Launch and find out. A/B testing happens after the lease is signed.</w:t>
      </w:r>
    </w:p>
    <w:p>
      <w:pPr>
        <w:spacing w:after="100"/>
      </w:pPr>
    </w:p>
    <w:p>
      <w:pPr>
        <w:spacing w:after="120"/>
      </w:pPr>
      <w:r>
        <w:rPr>
          <w:rFonts w:ascii="Arial" w:cs="Arial" w:eastAsia="Arial" w:hAnsi="Arial"/>
          <w:color w:val="111827"/>
          <w:sz w:val="22"/>
          <w:szCs w:val="22"/>
        </w:rPr>
        <w:t xml:space="preserve">The workaround is expensive in time, money, or both. It doesn't scale. It excludes behavioral context: why people in Gading Serpong choose premium experiences, what triggers repeat visits, what price anchors they hold, how they discover new places. That context lives in the community — not in public data sources.</w:t>
      </w:r>
    </w:p>
    <w:p>
      <w:pPr>
        <w:spacing w:after="200"/>
      </w:pPr>
    </w:p>
    <w:p>
      <w:pPr>
        <w:pBdr>
          <w:bottom w:val="single" w:color="E5E7EB" w:sz="4" w:space="1"/>
        </w:pBdr>
        <w:spacing w:before="200" w:after="200"/>
      </w:pPr>
    </w:p>
    <w:p>
      <w:pPr>
        <w:pStyle w:val="Heading2"/>
        <w:spacing w:before="280" w:after="120"/>
      </w:pPr>
      <w:r>
        <w:rPr>
          <w:rFonts w:ascii="Arial" w:cs="Arial" w:eastAsia="Arial" w:hAnsi="Arial"/>
          <w:b/>
          <w:bCs/>
          <w:color w:val="1A56DB"/>
          <w:sz w:val="26"/>
          <w:szCs w:val="26"/>
        </w:rPr>
        <w:t xml:space="preserve">What Is PasarSim</w:t>
      </w:r>
    </w:p>
    <w:p>
      <w:pPr>
        <w:spacing w:after="120"/>
      </w:pPr>
      <w:r>
        <w:rPr>
          <w:rFonts w:ascii="Arial" w:cs="Arial" w:eastAsia="Arial" w:hAnsi="Arial"/>
          <w:color w:val="111827"/>
          <w:sz w:val="22"/>
          <w:szCs w:val="22"/>
        </w:rPr>
        <w:t xml:space="preserve">PasarSim is a simulation platform for Indonesian business owners — specifically mid-to-high-level UMKMs in the F&amp;B, retail, and lifestyle sectors. It lets a business owner simulate a business concept against a localized cluster dataset built from real community members in a specific geographic and demographic context.</w:t>
      </w:r>
    </w:p>
    <w:p>
      <w:pPr>
        <w:spacing w:after="100"/>
      </w:pPr>
    </w:p>
    <w:p>
      <w:pPr>
        <w:spacing w:after="120"/>
      </w:pPr>
      <w:r>
        <w:rPr>
          <w:rFonts w:ascii="Arial" w:cs="Arial" w:eastAsia="Arial" w:hAnsi="Arial"/>
          <w:color w:val="111827"/>
          <w:sz w:val="22"/>
          <w:szCs w:val="22"/>
        </w:rPr>
        <w:t xml:space="preserve">A cluster is a curated dataset for a specific place and market segment. Example: "Premium Cafe Scene — Gading Serpong, Tangerang." It contains:</w:t>
      </w:r>
    </w:p>
    <w:p>
      <w:pPr>
        <w:spacing w:after="80"/>
      </w:pPr>
    </w:p>
    <w:p>
      <w:pPr>
        <w:pStyle w:val="ListParagraph"/>
        <w:numPr>
          <w:ilvl w:val="0"/>
          <w:numId w:val="2"/>
        </w:numPr>
        <w:spacing w:after="80"/>
      </w:pPr>
      <w:r>
        <w:rPr>
          <w:rFonts w:ascii="Arial" w:cs="Arial" w:eastAsia="Arial" w:hAnsi="Arial"/>
          <w:b w:val="false"/>
          <w:bCs w:val="false"/>
          <w:color w:val="111827"/>
          <w:sz w:val="22"/>
          <w:szCs w:val="22"/>
        </w:rPr>
        <w:t xml:space="preserve">Behavioral patterns of people who live, work, or spend in that area</w:t>
      </w:r>
    </w:p>
    <w:p>
      <w:pPr>
        <w:pStyle w:val="ListParagraph"/>
        <w:numPr>
          <w:ilvl w:val="0"/>
          <w:numId w:val="2"/>
        </w:numPr>
        <w:spacing w:after="80"/>
      </w:pPr>
      <w:r>
        <w:rPr>
          <w:rFonts w:ascii="Arial" w:cs="Arial" w:eastAsia="Arial" w:hAnsi="Arial"/>
          <w:b w:val="false"/>
          <w:bCs w:val="false"/>
          <w:color w:val="111827"/>
          <w:sz w:val="22"/>
          <w:szCs w:val="22"/>
        </w:rPr>
        <w:t xml:space="preserve">Competitor landscape and positioning data</w:t>
      </w:r>
    </w:p>
    <w:p>
      <w:pPr>
        <w:pStyle w:val="ListParagraph"/>
        <w:numPr>
          <w:ilvl w:val="0"/>
          <w:numId w:val="2"/>
        </w:numPr>
        <w:spacing w:after="80"/>
      </w:pPr>
      <w:r>
        <w:rPr>
          <w:rFonts w:ascii="Arial" w:cs="Arial" w:eastAsia="Arial" w:hAnsi="Arial"/>
          <w:b w:val="false"/>
          <w:bCs w:val="false"/>
          <w:color w:val="111827"/>
          <w:sz w:val="22"/>
          <w:szCs w:val="22"/>
        </w:rPr>
        <w:t xml:space="preserve">Consumer sentiment, willingness-to-pay estimates</w:t>
      </w:r>
    </w:p>
    <w:p>
      <w:pPr>
        <w:pStyle w:val="ListParagraph"/>
        <w:numPr>
          <w:ilvl w:val="0"/>
          <w:numId w:val="2"/>
        </w:numPr>
        <w:spacing w:after="80"/>
      </w:pPr>
      <w:r>
        <w:rPr>
          <w:rFonts w:ascii="Arial" w:cs="Arial" w:eastAsia="Arial" w:hAnsi="Arial"/>
          <w:b w:val="false"/>
          <w:bCs w:val="false"/>
          <w:color w:val="111827"/>
          <w:sz w:val="22"/>
          <w:szCs w:val="22"/>
        </w:rPr>
        <w:t xml:space="preserve">Foot traffic patterns and peak timing signals</w:t>
      </w:r>
    </w:p>
    <w:p>
      <w:pPr>
        <w:pStyle w:val="ListParagraph"/>
        <w:numPr>
          <w:ilvl w:val="0"/>
          <w:numId w:val="2"/>
        </w:numPr>
        <w:spacing w:after="80"/>
      </w:pPr>
      <w:r>
        <w:rPr>
          <w:rFonts w:ascii="Arial" w:cs="Arial" w:eastAsia="Arial" w:hAnsi="Arial"/>
          <w:b w:val="false"/>
          <w:bCs w:val="false"/>
          <w:color w:val="111827"/>
          <w:sz w:val="22"/>
          <w:szCs w:val="22"/>
        </w:rPr>
        <w:t xml:space="preserve">Price sensitivity by product category</w:t>
      </w:r>
    </w:p>
    <w:p>
      <w:pPr>
        <w:spacing w:after="100"/>
      </w:pPr>
    </w:p>
    <w:p>
      <w:pPr>
        <w:spacing w:after="120"/>
      </w:pPr>
      <w:r>
        <w:rPr>
          <w:rFonts w:ascii="Arial" w:cs="Arial" w:eastAsia="Arial" w:hAnsi="Arial"/>
          <w:color w:val="111827"/>
          <w:sz w:val="22"/>
          <w:szCs w:val="22"/>
        </w:rPr>
        <w:t xml:space="preserve">When a business owner runs a simulation, they input their concept and get back a structured intelligence report calibrated to that cluster's real data — before they make any financial commitment.</w:t>
      </w:r>
    </w:p>
    <w:p>
      <w:pPr>
        <w:spacing w:after="200"/>
      </w:pPr>
    </w:p>
    <w:p>
      <w:pPr>
        <w:pBdr>
          <w:bottom w:val="single" w:color="E5E7EB" w:sz="4" w:space="1"/>
        </w:pBdr>
        <w:spacing w:before="200" w:after="200"/>
      </w:pPr>
    </w:p>
    <w:p>
      <w:pPr>
        <w:pStyle w:val="Heading2"/>
        <w:spacing w:before="280" w:after="120"/>
      </w:pPr>
      <w:r>
        <w:rPr>
          <w:rFonts w:ascii="Arial" w:cs="Arial" w:eastAsia="Arial" w:hAnsi="Arial"/>
          <w:b/>
          <w:bCs/>
          <w:color w:val="1A56DB"/>
          <w:sz w:val="26"/>
          <w:szCs w:val="26"/>
        </w:rPr>
        <w:t xml:space="preserve">How It Works: The Two-Layer System</w:t>
      </w:r>
    </w:p>
    <w:p>
      <w:pPr>
        <w:pStyle w:val="Heading3"/>
        <w:spacing w:before="200" w:after="100"/>
      </w:pPr>
      <w:r>
        <w:rPr>
          <w:rFonts w:ascii="Arial" w:cs="Arial" w:eastAsia="Arial" w:hAnsi="Arial"/>
          <w:b/>
          <w:bCs/>
          <w:color w:val="111827"/>
          <w:sz w:val="22"/>
          <w:szCs w:val="22"/>
        </w:rPr>
        <w:t xml:space="preserve">Layer 1: Cluster Data (Supply Side)</w:t>
      </w:r>
    </w:p>
    <w:p>
      <w:pPr>
        <w:spacing w:after="120"/>
      </w:pPr>
      <w:r>
        <w:rPr>
          <w:rFonts w:ascii="Arial" w:cs="Arial" w:eastAsia="Arial" w:hAnsi="Arial"/>
          <w:color w:val="111827"/>
          <w:sz w:val="22"/>
          <w:szCs w:val="22"/>
        </w:rPr>
        <w:t xml:space="preserve">Clusters are the foundation of PasarSim. Each cluster represents a specific local market — a geographic area combined with a business category. Two models for creating clusters: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6D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MODEL A</w:t>
            </w:r>
          </w:p>
        </w:tc>
        <w:tc>
          <w:tcPr>
            <w:tcW w:type="dxa" w:w="8160"/>
            <w:tcBorders>
              <w:top w:val="none" w:color="FFFFFF" w:sz="0"/>
              <w:left w:val="none" w:color="FFFFFF" w:sz="0"/>
              <w:bottom w:val="none" w:color="FFFFFF" w:sz="0"/>
              <w:right w:val="none" w:color="FFFFFF" w:sz="0"/>
            </w:tcBorders>
            <w:shd w:fill="E5EDFF" w:val="clear"/>
            <w:tcMar>
              <w:top w:type="dxa" w:w="120"/>
              <w:left w:type="dxa" w:w="200"/>
              <w:bottom w:type="dxa" w:w="120"/>
              <w:right w:type="dxa" w:w="160"/>
            </w:tcMar>
          </w:tcPr>
          <w:p>
            <w:r>
              <w:rPr>
                <w:rFonts w:ascii="Arial" w:cs="Arial" w:eastAsia="Arial" w:hAnsi="Arial"/>
                <w:i/>
                <w:iCs/>
                <w:color w:val="111827"/>
                <w:sz w:val="22"/>
                <w:szCs w:val="22"/>
              </w:rPr>
              <w:t xml:space="preserve">Community Manager-Led Cluster. PasarSim identifies and onboards a Person-in-Charge (PIC) who manages a community group for a specific cluster. The PIC recruits participants, distributes the form, validates response quality, and submits the completed cluster for peer review.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6D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MODEL B</w:t>
            </w:r>
          </w:p>
        </w:tc>
        <w:tc>
          <w:tcPr>
            <w:tcW w:type="dxa" w:w="8160"/>
            <w:tcBorders>
              <w:top w:val="none" w:color="FFFFFF" w:sz="0"/>
              <w:left w:val="none" w:color="FFFFFF" w:sz="0"/>
              <w:bottom w:val="none" w:color="FFFFFF" w:sz="0"/>
              <w:right w:val="none" w:color="FFFFFF" w:sz="0"/>
            </w:tcBorders>
            <w:shd w:fill="E5EDFF" w:val="clear"/>
            <w:tcMar>
              <w:top w:type="dxa" w:w="120"/>
              <w:left w:type="dxa" w:w="200"/>
              <w:bottom w:type="dxa" w:w="120"/>
              <w:right w:type="dxa" w:w="160"/>
            </w:tcMar>
          </w:tcPr>
          <w:p>
            <w:r>
              <w:rPr>
                <w:rFonts w:ascii="Arial" w:cs="Arial" w:eastAsia="Arial" w:hAnsi="Arial"/>
                <w:i/>
                <w:iCs/>
                <w:color w:val="111827"/>
                <w:sz w:val="22"/>
                <w:szCs w:val="22"/>
              </w:rPr>
              <w:t xml:space="preserve">Self-Initialized Cluster. Any individual or organization can submit a cluster proposal with a defined scope, methodology, and community reach. If PasarSim approves the proposal, a grant is issued and the proposer builds the cluster. Upon completion and validation, the full payment is released.</w:t>
            </w:r>
          </w:p>
        </w:tc>
      </w:tr>
    </w:tbl>
    <w:p>
      <w:pPr>
        <w:spacing w:after="120"/>
      </w:pPr>
    </w:p>
    <w:p>
      <w:pPr>
        <w:spacing w:after="120"/>
      </w:pPr>
      <w:r>
        <w:rPr>
          <w:rFonts w:ascii="Arial" w:cs="Arial" w:eastAsia="Arial" w:hAnsi="Arial"/>
          <w:color w:val="111827"/>
          <w:sz w:val="22"/>
          <w:szCs w:val="22"/>
        </w:rPr>
        <w:t xml:space="preserve">Both models feed into the same validation pipeline:</w:t>
      </w:r>
    </w:p>
    <w:p>
      <w:pPr>
        <w:spacing w:after="80"/>
      </w:pPr>
    </w:p>
    <w:p>
      <w:pPr>
        <w:pStyle w:val="ListParagraph"/>
        <w:numPr>
          <w:ilvl w:val="0"/>
          <w:numId w:val="3"/>
        </w:numPr>
        <w:spacing w:after="80"/>
      </w:pPr>
      <w:r>
        <w:rPr>
          <w:rFonts w:ascii="Arial" w:cs="Arial" w:eastAsia="Arial" w:hAnsi="Arial"/>
          <w:color w:val="111827"/>
          <w:sz w:val="22"/>
          <w:szCs w:val="22"/>
        </w:rPr>
        <w:t xml:space="preserve">Cluster scope defined (geography + business category)</w:t>
      </w:r>
    </w:p>
    <w:p>
      <w:pPr>
        <w:pStyle w:val="ListParagraph"/>
        <w:numPr>
          <w:ilvl w:val="0"/>
          <w:numId w:val="3"/>
        </w:numPr>
        <w:spacing w:after="80"/>
      </w:pPr>
      <w:r>
        <w:rPr>
          <w:rFonts w:ascii="Arial" w:cs="Arial" w:eastAsia="Arial" w:hAnsi="Arial"/>
          <w:color w:val="111827"/>
          <w:sz w:val="22"/>
          <w:szCs w:val="22"/>
        </w:rPr>
        <w:t xml:space="preserve">Community group formed; standardized form distributed with mandatory + custom questions</w:t>
      </w:r>
    </w:p>
    <w:p>
      <w:pPr>
        <w:pStyle w:val="ListParagraph"/>
        <w:numPr>
          <w:ilvl w:val="0"/>
          <w:numId w:val="3"/>
        </w:numPr>
        <w:spacing w:after="80"/>
      </w:pPr>
      <w:r>
        <w:rPr>
          <w:rFonts w:ascii="Arial" w:cs="Arial" w:eastAsia="Arial" w:hAnsi="Arial"/>
          <w:color w:val="111827"/>
          <w:sz w:val="22"/>
          <w:szCs w:val="22"/>
        </w:rPr>
        <w:t xml:space="preserve">Responses collected by PIC or proposer</w:t>
      </w:r>
    </w:p>
    <w:p>
      <w:pPr>
        <w:pStyle w:val="ListParagraph"/>
        <w:numPr>
          <w:ilvl w:val="0"/>
          <w:numId w:val="3"/>
        </w:numPr>
        <w:spacing w:after="80"/>
      </w:pPr>
      <w:r>
        <w:rPr>
          <w:rFonts w:ascii="Arial" w:cs="Arial" w:eastAsia="Arial" w:hAnsi="Arial"/>
          <w:color w:val="111827"/>
          <w:sz w:val="22"/>
          <w:szCs w:val="22"/>
        </w:rPr>
        <w:t xml:space="preserve">PIC-level review: filter low-quality responses, flag inconsistencies</w:t>
      </w:r>
    </w:p>
    <w:p>
      <w:pPr>
        <w:pStyle w:val="ListParagraph"/>
        <w:numPr>
          <w:ilvl w:val="0"/>
          <w:numId w:val="3"/>
        </w:numPr>
        <w:spacing w:after="80"/>
      </w:pPr>
      <w:r>
        <w:rPr>
          <w:rFonts w:ascii="Arial" w:cs="Arial" w:eastAsia="Arial" w:hAnsi="Arial"/>
          <w:color w:val="111827"/>
          <w:sz w:val="22"/>
          <w:szCs w:val="22"/>
        </w:rPr>
        <w:t xml:space="preserve">PasarSim internal validation: quality check against data standards</w:t>
      </w:r>
    </w:p>
    <w:p>
      <w:pPr>
        <w:pStyle w:val="ListParagraph"/>
        <w:numPr>
          <w:ilvl w:val="0"/>
          <w:numId w:val="3"/>
        </w:numPr>
        <w:spacing w:after="80"/>
      </w:pPr>
      <w:r>
        <w:rPr>
          <w:rFonts w:ascii="Arial" w:cs="Arial" w:eastAsia="Arial" w:hAnsi="Arial"/>
          <w:color w:val="111827"/>
          <w:sz w:val="22"/>
          <w:szCs w:val="22"/>
        </w:rPr>
        <w:t xml:space="preserve">If data passes: cluster goes live; payment distributed</w:t>
      </w:r>
    </w:p>
    <w:p>
      <w:pPr>
        <w:pStyle w:val="ListParagraph"/>
        <w:numPr>
          <w:ilvl w:val="0"/>
          <w:numId w:val="3"/>
        </w:numPr>
        <w:spacing w:after="80"/>
      </w:pPr>
      <w:r>
        <w:rPr>
          <w:rFonts w:ascii="Arial" w:cs="Arial" w:eastAsia="Arial" w:hAnsi="Arial"/>
          <w:color w:val="111827"/>
          <w:sz w:val="22"/>
          <w:szCs w:val="22"/>
        </w:rPr>
        <w:t xml:space="preserve">If data fails: payment withheld; feedback sent to PIC/proposer for remediation</w:t>
      </w:r>
    </w:p>
    <w:p>
      <w:pPr>
        <w:spacing w:after="100"/>
      </w:pPr>
    </w:p>
    <w:p>
      <w:pPr>
        <w:spacing w:after="120"/>
      </w:pPr>
      <w:r>
        <w:rPr>
          <w:rFonts w:ascii="Arial" w:cs="Arial" w:eastAsia="Arial" w:hAnsi="Arial"/>
          <w:color w:val="111827"/>
          <w:sz w:val="22"/>
          <w:szCs w:val="22"/>
        </w:rPr>
        <w:t xml:space="preserve">Mandatory form questions cover: demographics, frequency of visits to the area, spending behavior by category, brand perception, price benchmarks. Business owners using PasarSim can also add custom questions to a cluster submission request for targeted research.</w:t>
      </w:r>
    </w:p>
    <w:p>
      <w:pPr>
        <w:spacing w:after="200"/>
      </w:pPr>
    </w:p>
    <w:p>
      <w:pPr>
        <w:pStyle w:val="Heading3"/>
        <w:spacing w:before="200" w:after="100"/>
      </w:pPr>
      <w:r>
        <w:rPr>
          <w:rFonts w:ascii="Arial" w:cs="Arial" w:eastAsia="Arial" w:hAnsi="Arial"/>
          <w:b/>
          <w:bCs/>
          <w:color w:val="111827"/>
          <w:sz w:val="22"/>
          <w:szCs w:val="22"/>
        </w:rPr>
        <w:t xml:space="preserve">Layer 2: Simulation (Demand Side)</w:t>
      </w:r>
    </w:p>
    <w:p>
      <w:pPr>
        <w:spacing w:after="120"/>
      </w:pPr>
      <w:r>
        <w:rPr>
          <w:rFonts w:ascii="Arial" w:cs="Arial" w:eastAsia="Arial" w:hAnsi="Arial"/>
          <w:color w:val="111827"/>
          <w:sz w:val="22"/>
          <w:szCs w:val="22"/>
        </w:rPr>
        <w:t xml:space="preserve">Business owners access PasarSim to run simulations against existing cluster data. A simulation for 'Premium Matcha Cafe — Gading Serpong' would return: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468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Output Metric</w:t>
            </w:r>
          </w:p>
        </w:tc>
        <w:tc>
          <w:tcPr>
            <w:tcW w:type="dxa" w:w="468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What It Tells You</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Sentiment Analysis</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How the cluster reacts to your concept: positive / neutral / skeptical, with breakdown by archetype</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11827"/>
                <w:sz w:val="20"/>
                <w:szCs w:val="20"/>
              </w:rPr>
              <w:t xml:space="preserve">Willingness-to-Pay Estimate</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11827"/>
                <w:sz w:val="20"/>
                <w:szCs w:val="20"/>
              </w:rPr>
              <w:t xml:space="preserve">Price range the cluster accepts for your category; where resistance begins</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Competitor Gap Analysis</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Which competitor positions are overcrowded; where whitespace exists</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11827"/>
                <w:sz w:val="20"/>
                <w:szCs w:val="20"/>
              </w:rPr>
              <w:t xml:space="preserve">Foot Traffic Signals</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11827"/>
                <w:sz w:val="20"/>
                <w:szCs w:val="20"/>
              </w:rPr>
              <w:t xml:space="preserve">Estimated demand pattern by time-of-day and day-of-week for the area</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Backfire Warnings</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Concept elements likely to generate negative reactions from this specific cluster</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11827"/>
                <w:sz w:val="20"/>
                <w:szCs w:val="20"/>
              </w:rPr>
              <w:t xml:space="preserve">Recommendations</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11827"/>
                <w:sz w:val="20"/>
                <w:szCs w:val="20"/>
              </w:rPr>
              <w:t xml:space="preserve">Actionable adjustments to positioning, pricing, or product based on cluster data</w:t>
            </w:r>
          </w:p>
        </w:tc>
      </w:tr>
    </w:tbl>
    <w:p>
      <w:pPr>
        <w:spacing w:after="100"/>
      </w:pPr>
    </w:p>
    <w:p>
      <w:pPr>
        <w:spacing w:after="120"/>
      </w:pPr>
      <w:r>
        <w:rPr>
          <w:rFonts w:ascii="Arial" w:cs="Arial" w:eastAsia="Arial" w:hAnsi="Arial"/>
          <w:color w:val="111827"/>
          <w:sz w:val="22"/>
          <w:szCs w:val="22"/>
        </w:rPr>
        <w:t xml:space="preserve">Output is delivered as a structured web report. Business owners can run multiple simulations to test concept variations — different pricing tiers, different menu positioning, different branding angles — before committing.</w:t>
      </w:r>
    </w:p>
    <w:p>
      <w:pPr>
        <w:spacing w:after="200"/>
      </w:pPr>
    </w:p>
    <w:p>
      <w:pPr>
        <w:pBdr>
          <w:bottom w:val="single" w:color="E5E7EB" w:sz="4" w:space="1"/>
        </w:pBdr>
        <w:spacing w:before="200" w:after="200"/>
      </w:pPr>
    </w:p>
    <w:p>
      <w:pPr>
        <w:pStyle w:val="Heading2"/>
        <w:spacing w:before="280" w:after="120"/>
      </w:pPr>
      <w:r>
        <w:rPr>
          <w:rFonts w:ascii="Arial" w:cs="Arial" w:eastAsia="Arial" w:hAnsi="Arial"/>
          <w:b/>
          <w:bCs/>
          <w:color w:val="1A56DB"/>
          <w:sz w:val="26"/>
          <w:szCs w:val="26"/>
        </w:rPr>
        <w:t xml:space="preserve">Target User &amp; Wedge</w:t>
      </w:r>
    </w:p>
    <w:p>
      <w:pPr>
        <w:spacing w:after="120"/>
      </w:pPr>
      <w:r>
        <w:rPr>
          <w:rFonts w:ascii="Arial" w:cs="Arial" w:eastAsia="Arial" w:hAnsi="Arial"/>
          <w:color w:val="111827"/>
          <w:sz w:val="22"/>
          <w:szCs w:val="22"/>
        </w:rPr>
        <w:t xml:space="preserve">Primary user: Indonesian UMKM owner or operator in the mid-to-high segment — specifically those planning or expanding a physical location (cafe, restaurant, specialty retail, wellness). Not the warung. The owner writing a business plan, talking to investors, or deciding between two locations.</w:t>
      </w:r>
    </w:p>
    <w:p>
      <w:pPr>
        <w:spacing w:after="80"/>
      </w:pPr>
    </w:p>
    <w:p>
      <w:pPr>
        <w:spacing w:after="120"/>
      </w:pPr>
      <w:r>
        <w:rPr>
          <w:rFonts w:ascii="Arial" w:cs="Arial" w:eastAsia="Arial" w:hAnsi="Arial"/>
          <w:color w:val="111827"/>
          <w:sz w:val="22"/>
          <w:szCs w:val="22"/>
        </w:rPr>
        <w:t xml:space="preserve">Wedge: F&amp;B in Jabodetabek suburban corridors — Gading Serpong, BSD, Bekasi Timur, Depok. These areas have high consumer spending, dense UMKM competition, and enough geographic identity to build meaningful clusters. One cluster. One simulation. Prove the value. Then expand.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468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468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Focus</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Phase 1 (Months 1–6)</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F&amp;B clusters in Jabodetabek; manual cluster ops; first 20 paying simulations</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11827"/>
                <w:sz w:val="20"/>
                <w:szCs w:val="20"/>
              </w:rPr>
              <w:t xml:space="preserve">Phase 2 (Months 7–12)</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11827"/>
                <w:sz w:val="20"/>
                <w:szCs w:val="20"/>
              </w:rPr>
              <w:t xml:space="preserve">Expand to retail + lifestyle; self-service cluster proposals; 200+ simulations</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Phase 3 (Year 2)</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Mid-size brand and agency tier; cluster API licensing; regional expansion</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11827"/>
                <w:sz w:val="20"/>
                <w:szCs w:val="20"/>
              </w:rPr>
              <w:t xml:space="preserve">Phase 4 (Year 3+)</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11827"/>
                <w:sz w:val="20"/>
                <w:szCs w:val="20"/>
              </w:rPr>
              <w:t xml:space="preserve">Enterprise, government policy simulation, Southeast Asia expansion</w:t>
            </w:r>
          </w:p>
        </w:tc>
      </w:tr>
    </w:tbl>
    <w:p>
      <w:pPr>
        <w:spacing w:after="200"/>
      </w:pPr>
    </w:p>
    <w:p>
      <w:pPr>
        <w:pBdr>
          <w:bottom w:val="single" w:color="E5E7EB" w:sz="4" w:space="1"/>
        </w:pBdr>
        <w:spacing w:before="200" w:after="200"/>
      </w:pPr>
    </w:p>
    <w:p>
      <w:pPr>
        <w:pStyle w:val="Heading2"/>
        <w:spacing w:before="280" w:after="120"/>
      </w:pPr>
      <w:r>
        <w:rPr>
          <w:rFonts w:ascii="Arial" w:cs="Arial" w:eastAsia="Arial" w:hAnsi="Arial"/>
          <w:b/>
          <w:bCs/>
          <w:color w:val="1A56DB"/>
          <w:sz w:val="26"/>
          <w:szCs w:val="26"/>
        </w:rPr>
        <w:t xml:space="preserve">Revenue Model</w:t>
      </w:r>
    </w:p>
    <w:p>
      <w:pPr>
        <w:spacing w:after="120"/>
      </w:pPr>
      <w:r>
        <w:rPr>
          <w:rFonts w:ascii="Arial" w:cs="Arial" w:eastAsia="Arial" w:hAnsi="Arial"/>
          <w:color w:val="111827"/>
          <w:sz w:val="22"/>
          <w:szCs w:val="22"/>
        </w:rPr>
        <w:t xml:space="preserve">Revenue is generated from business owners and anyone who wants to run a simulation. Two access modes:</w:t>
      </w:r>
    </w:p>
    <w:p>
      <w:pPr>
        <w:spacing w:after="80"/>
      </w:pPr>
    </w:p>
    <w:p>
      <w:pPr>
        <w:pStyle w:val="Heading3"/>
        <w:spacing w:before="200" w:after="100"/>
      </w:pPr>
      <w:r>
        <w:rPr>
          <w:rFonts w:ascii="Arial" w:cs="Arial" w:eastAsia="Arial" w:hAnsi="Arial"/>
          <w:b/>
          <w:bCs/>
          <w:color w:val="111827"/>
          <w:sz w:val="22"/>
          <w:szCs w:val="22"/>
        </w:rPr>
        <w:t xml:space="preserve">Pay-As-You-Go</w:t>
      </w:r>
    </w:p>
    <w:p>
      <w:pPr>
        <w:spacing w:after="120"/>
      </w:pPr>
      <w:r>
        <w:rPr>
          <w:rFonts w:ascii="Arial" w:cs="Arial" w:eastAsia="Arial" w:hAnsi="Arial"/>
          <w:color w:val="111827"/>
          <w:sz w:val="22"/>
          <w:szCs w:val="22"/>
        </w:rPr>
        <w:t xml:space="preserve">For one-time or infrequent use. Low commitment, high accessibility. Ideal for business owners evaluating a single location or concept.</w:t>
      </w:r>
    </w:p>
    <w:p>
      <w:pPr>
        <w:pStyle w:val="ListParagraph"/>
        <w:numPr>
          <w:ilvl w:val="0"/>
          <w:numId w:val="2"/>
        </w:numPr>
        <w:spacing w:after="80"/>
      </w:pPr>
      <w:r>
        <w:rPr>
          <w:rFonts w:ascii="Arial" w:cs="Arial" w:eastAsia="Arial" w:hAnsi="Arial"/>
          <w:b w:val="false"/>
          <w:bCs w:val="false"/>
          <w:color w:val="111827"/>
          <w:sz w:val="22"/>
          <w:szCs w:val="22"/>
        </w:rPr>
        <w:t xml:space="preserve">Rp 75,000 per simulation credit</w:t>
      </w:r>
    </w:p>
    <w:p>
      <w:pPr>
        <w:pStyle w:val="ListParagraph"/>
        <w:numPr>
          <w:ilvl w:val="0"/>
          <w:numId w:val="2"/>
        </w:numPr>
        <w:spacing w:after="80"/>
      </w:pPr>
      <w:r>
        <w:rPr>
          <w:rFonts w:ascii="Arial" w:cs="Arial" w:eastAsia="Arial" w:hAnsi="Arial"/>
          <w:b w:val="false"/>
          <w:bCs w:val="false"/>
          <w:color w:val="111827"/>
          <w:sz w:val="22"/>
          <w:szCs w:val="22"/>
        </w:rPr>
        <w:t xml:space="preserve">No subscription required</w:t>
      </w:r>
    </w:p>
    <w:p>
      <w:pPr>
        <w:pStyle w:val="ListParagraph"/>
        <w:numPr>
          <w:ilvl w:val="0"/>
          <w:numId w:val="2"/>
        </w:numPr>
        <w:spacing w:after="80"/>
      </w:pPr>
      <w:r>
        <w:rPr>
          <w:rFonts w:ascii="Arial" w:cs="Arial" w:eastAsia="Arial" w:hAnsi="Arial"/>
          <w:b w:val="false"/>
          <w:bCs w:val="false"/>
          <w:color w:val="111827"/>
          <w:sz w:val="22"/>
          <w:szCs w:val="22"/>
        </w:rPr>
        <w:t xml:space="preserve">Credits do not expire within 12 months of purchase</w:t>
      </w:r>
    </w:p>
    <w:p>
      <w:pPr>
        <w:spacing w:after="100"/>
      </w:pPr>
    </w:p>
    <w:p>
      <w:pPr>
        <w:pStyle w:val="Heading3"/>
        <w:spacing w:before="200" w:after="100"/>
      </w:pPr>
      <w:r>
        <w:rPr>
          <w:rFonts w:ascii="Arial" w:cs="Arial" w:eastAsia="Arial" w:hAnsi="Arial"/>
          <w:b/>
          <w:bCs/>
          <w:color w:val="111827"/>
          <w:sz w:val="22"/>
          <w:szCs w:val="22"/>
        </w:rPr>
        <w:t xml:space="preserve">Monthly Subscription</w:t>
      </w:r>
    </w:p>
    <w:p>
      <w:pPr>
        <w:spacing w:after="120"/>
      </w:pPr>
      <w:r>
        <w:rPr>
          <w:rFonts w:ascii="Arial" w:cs="Arial" w:eastAsia="Arial" w:hAnsi="Arial"/>
          <w:color w:val="111827"/>
          <w:sz w:val="22"/>
          <w:szCs w:val="22"/>
        </w:rPr>
        <w:t xml:space="preserve">For active owners running multiple scenarios, comparing concepts, or iterating on a business plan. Better unit economics, priority queue access, and saved simulation history.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Tier</w:t>
            </w:r>
          </w:p>
        </w:tc>
        <w:tc>
          <w:tcPr>
            <w:tcW w:type="dxa" w:w="1872"/>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Price/Month</w:t>
            </w:r>
          </w:p>
        </w:tc>
        <w:tc>
          <w:tcPr>
            <w:tcW w:type="dxa" w:w="1872"/>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Simulations</w:t>
            </w:r>
          </w:p>
        </w:tc>
        <w:tc>
          <w:tcPr>
            <w:tcW w:type="dxa" w:w="1872"/>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Turnaround</w:t>
            </w:r>
          </w:p>
        </w:tc>
        <w:tc>
          <w:tcPr>
            <w:tcW w:type="dxa" w:w="1872"/>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Target</w:t>
            </w:r>
          </w:p>
        </w:tc>
      </w:tr>
      <w:tr>
        <w:tc>
          <w:tcPr>
            <w:tcW w:type="dxa" w:w="1872"/>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Explorer</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Rp 150K</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3</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&lt; 48 hours</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First-time owner</w:t>
            </w:r>
          </w:p>
        </w:tc>
      </w:tr>
      <w:tr>
        <w:tc>
          <w:tcPr>
            <w:tcW w:type="dxa" w:w="1872"/>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11827"/>
                <w:sz w:val="20"/>
                <w:szCs w:val="20"/>
              </w:rPr>
              <w:t xml:space="preserve">Builder</w:t>
            </w:r>
          </w:p>
        </w:tc>
        <w:tc>
          <w:tcPr>
            <w:tcW w:type="dxa" w:w="1872"/>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11827"/>
                <w:sz w:val="20"/>
                <w:szCs w:val="20"/>
              </w:rPr>
              <w:t xml:space="preserve">Rp 350K</w:t>
            </w:r>
          </w:p>
        </w:tc>
        <w:tc>
          <w:tcPr>
            <w:tcW w:type="dxa" w:w="1872"/>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11827"/>
                <w:sz w:val="20"/>
                <w:szCs w:val="20"/>
              </w:rPr>
              <w:t xml:space="preserve">10</w:t>
            </w:r>
          </w:p>
        </w:tc>
        <w:tc>
          <w:tcPr>
            <w:tcW w:type="dxa" w:w="1872"/>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11827"/>
                <w:sz w:val="20"/>
                <w:szCs w:val="20"/>
              </w:rPr>
              <w:t xml:space="preserve">&lt; 24 hours</w:t>
            </w:r>
          </w:p>
        </w:tc>
        <w:tc>
          <w:tcPr>
            <w:tcW w:type="dxa" w:w="1872"/>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11827"/>
                <w:sz w:val="20"/>
                <w:szCs w:val="20"/>
              </w:rPr>
              <w:t xml:space="preserve">Active UMKM</w:t>
            </w:r>
          </w:p>
        </w:tc>
      </w:tr>
      <w:tr>
        <w:tc>
          <w:tcPr>
            <w:tcW w:type="dxa" w:w="1872"/>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Pro</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Rp 750K</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Unlimited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&lt; 8 hours + priority</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Multi-outlet / Agency</w:t>
            </w:r>
          </w:p>
        </w:tc>
      </w:tr>
    </w:tbl>
    <w:p>
      <w:pPr>
        <w:spacing w:after="100"/>
      </w:pPr>
    </w:p>
    <w:p>
      <w:pPr>
        <w:spacing w:after="120"/>
      </w:pPr>
      <w:r>
        <w:rPr>
          <w:rFonts w:ascii="Arial" w:cs="Arial" w:eastAsia="Arial" w:hAnsi="Arial"/>
          <w:color w:val="111827"/>
          <w:sz w:val="22"/>
          <w:szCs w:val="22"/>
        </w:rPr>
        <w:t xml:space="preserve">Explorer tier is positioned as a risk-free entry: if one simulation prevents a bad location decision that would have cost Rp 50M, the Rp 150K/month subscription pays for itself in the first hour of use. Pro tier is for operators managing multiple locations or agencies running simulations on behalf of UMKM clients.</w:t>
      </w:r>
    </w:p>
    <w:p>
      <w:pPr>
        <w:spacing w:after="200"/>
      </w:pPr>
    </w:p>
    <w:p>
      <w:pPr>
        <w:pBdr>
          <w:bottom w:val="single" w:color="E5E7EB" w:sz="4" w:space="1"/>
        </w:pBdr>
        <w:spacing w:before="200" w:after="200"/>
      </w:pPr>
    </w:p>
    <w:p>
      <w:pPr>
        <w:pStyle w:val="Heading2"/>
        <w:spacing w:before="280" w:after="120"/>
      </w:pPr>
      <w:r>
        <w:rPr>
          <w:rFonts w:ascii="Arial" w:cs="Arial" w:eastAsia="Arial" w:hAnsi="Arial"/>
          <w:b/>
          <w:bCs/>
          <w:color w:val="1A56DB"/>
          <w:sz w:val="26"/>
          <w:szCs w:val="26"/>
        </w:rPr>
        <w:t xml:space="preserve">Cluster Economics &amp; Contributor Incentives</w:t>
      </w:r>
    </w:p>
    <w:p>
      <w:pPr>
        <w:spacing w:after="120"/>
      </w:pPr>
      <w:r>
        <w:rPr>
          <w:rFonts w:ascii="Arial" w:cs="Arial" w:eastAsia="Arial" w:hAnsi="Arial"/>
          <w:color w:val="111827"/>
          <w:sz w:val="22"/>
          <w:szCs w:val="22"/>
        </w:rPr>
        <w:t xml:space="preserve">PasarSim's data quality is the product. Cluster contributors are compensated for producing verified, high-quality data.</w:t>
      </w:r>
    </w:p>
    <w:p>
      <w:pPr>
        <w:spacing w:after="80"/>
      </w:pPr>
    </w:p>
    <w:p>
      <w:pPr>
        <w:pStyle w:val="Heading3"/>
        <w:spacing w:before="200" w:after="100"/>
      </w:pPr>
      <w:r>
        <w:rPr>
          <w:rFonts w:ascii="Arial" w:cs="Arial" w:eastAsia="Arial" w:hAnsi="Arial"/>
          <w:b/>
          <w:bCs/>
          <w:color w:val="111827"/>
          <w:sz w:val="22"/>
          <w:szCs w:val="22"/>
        </w:rPr>
        <w:t xml:space="preserve">Community Manager (PIC) Compensation</w:t>
      </w:r>
    </w:p>
    <w:p>
      <w:pPr>
        <w:pStyle w:val="ListParagraph"/>
        <w:numPr>
          <w:ilvl w:val="0"/>
          <w:numId w:val="2"/>
        </w:numPr>
        <w:spacing w:after="80"/>
      </w:pPr>
      <w:r>
        <w:rPr>
          <w:rFonts w:ascii="Arial" w:cs="Arial" w:eastAsia="Arial" w:hAnsi="Arial"/>
          <w:b w:val="false"/>
          <w:bCs w:val="false"/>
          <w:color w:val="111827"/>
          <w:sz w:val="22"/>
          <w:szCs w:val="22"/>
        </w:rPr>
        <w:t xml:space="preserve">Flat management fee per completed and validated cluster: Rp 1,500,000 – Rp 3,000,000 depending on cluster size and complexity</w:t>
      </w:r>
    </w:p>
    <w:p>
      <w:pPr>
        <w:pStyle w:val="ListParagraph"/>
        <w:numPr>
          <w:ilvl w:val="0"/>
          <w:numId w:val="2"/>
        </w:numPr>
        <w:spacing w:after="80"/>
      </w:pPr>
      <w:r>
        <w:rPr>
          <w:rFonts w:ascii="Arial" w:cs="Arial" w:eastAsia="Arial" w:hAnsi="Arial"/>
          <w:b w:val="false"/>
          <w:bCs w:val="false"/>
          <w:color w:val="111827"/>
          <w:sz w:val="22"/>
          <w:szCs w:val="22"/>
        </w:rPr>
        <w:t xml:space="preserve">Bonus for clusters with &gt;90% data quality score: additional Rp 500,000</w:t>
      </w:r>
    </w:p>
    <w:p>
      <w:pPr>
        <w:pStyle w:val="ListParagraph"/>
        <w:numPr>
          <w:ilvl w:val="0"/>
          <w:numId w:val="2"/>
        </w:numPr>
        <w:spacing w:after="80"/>
      </w:pPr>
      <w:r>
        <w:rPr>
          <w:rFonts w:ascii="Arial" w:cs="Arial" w:eastAsia="Arial" w:hAnsi="Arial"/>
          <w:b w:val="false"/>
          <w:bCs w:val="false"/>
          <w:color w:val="111827"/>
          <w:sz w:val="22"/>
          <w:szCs w:val="22"/>
        </w:rPr>
        <w:t xml:space="preserve">Recurring fee if the cluster is refreshed quarterly and maintained by the same PIC</w:t>
      </w:r>
    </w:p>
    <w:p>
      <w:pPr>
        <w:spacing w:after="100"/>
      </w:pPr>
    </w:p>
    <w:p>
      <w:pPr>
        <w:pStyle w:val="Heading3"/>
        <w:spacing w:before="200" w:after="100"/>
      </w:pPr>
      <w:r>
        <w:rPr>
          <w:rFonts w:ascii="Arial" w:cs="Arial" w:eastAsia="Arial" w:hAnsi="Arial"/>
          <w:b/>
          <w:bCs/>
          <w:color w:val="111827"/>
          <w:sz w:val="22"/>
          <w:szCs w:val="22"/>
        </w:rPr>
        <w:t xml:space="preserve">Self-Initialized Cluster (Proposal Model)</w:t>
      </w:r>
    </w:p>
    <w:p>
      <w:pPr>
        <w:pStyle w:val="ListParagraph"/>
        <w:numPr>
          <w:ilvl w:val="0"/>
          <w:numId w:val="2"/>
        </w:numPr>
        <w:spacing w:after="80"/>
      </w:pPr>
      <w:r>
        <w:rPr>
          <w:rFonts w:ascii="Arial" w:cs="Arial" w:eastAsia="Arial" w:hAnsi="Arial"/>
          <w:b w:val="false"/>
          <w:bCs w:val="false"/>
          <w:color w:val="111827"/>
          <w:sz w:val="22"/>
          <w:szCs w:val="22"/>
        </w:rPr>
        <w:t xml:space="preserve">Proposer submits scope, methodology, community reach estimate, and timeline</w:t>
      </w:r>
    </w:p>
    <w:p>
      <w:pPr>
        <w:pStyle w:val="ListParagraph"/>
        <w:numPr>
          <w:ilvl w:val="0"/>
          <w:numId w:val="2"/>
        </w:numPr>
        <w:spacing w:after="80"/>
      </w:pPr>
      <w:r>
        <w:rPr>
          <w:rFonts w:ascii="Arial" w:cs="Arial" w:eastAsia="Arial" w:hAnsi="Arial"/>
          <w:b w:val="false"/>
          <w:bCs w:val="false"/>
          <w:color w:val="111827"/>
          <w:sz w:val="22"/>
          <w:szCs w:val="22"/>
        </w:rPr>
        <w:t xml:space="preserve">PasarSim reviews and approves or rejects within 5 business days</w:t>
      </w:r>
    </w:p>
    <w:p>
      <w:pPr>
        <w:pStyle w:val="ListParagraph"/>
        <w:numPr>
          <w:ilvl w:val="0"/>
          <w:numId w:val="2"/>
        </w:numPr>
        <w:spacing w:after="80"/>
      </w:pPr>
      <w:r>
        <w:rPr>
          <w:rFonts w:ascii="Arial" w:cs="Arial" w:eastAsia="Arial" w:hAnsi="Arial"/>
          <w:b w:val="false"/>
          <w:bCs w:val="false"/>
          <w:color w:val="111827"/>
          <w:sz w:val="22"/>
          <w:szCs w:val="22"/>
        </w:rPr>
        <w:t xml:space="preserve">If approved: upfront grant of Rp 500,000 – Rp 1,500,000 for community mobilization costs</w:t>
      </w:r>
    </w:p>
    <w:p>
      <w:pPr>
        <w:pStyle w:val="ListParagraph"/>
        <w:numPr>
          <w:ilvl w:val="0"/>
          <w:numId w:val="2"/>
        </w:numPr>
        <w:spacing w:after="80"/>
      </w:pPr>
      <w:r>
        <w:rPr>
          <w:rFonts w:ascii="Arial" w:cs="Arial" w:eastAsia="Arial" w:hAnsi="Arial"/>
          <w:b w:val="false"/>
          <w:bCs w:val="false"/>
          <w:color w:val="111827"/>
          <w:sz w:val="22"/>
          <w:szCs w:val="22"/>
        </w:rPr>
        <w:t xml:space="preserve">If cluster passes internal validation: full payment released (Rp 2,000,000 – Rp 5,000,000 for a qualified cluster)</w:t>
      </w:r>
    </w:p>
    <w:p>
      <w:pPr>
        <w:pStyle w:val="ListParagraph"/>
        <w:numPr>
          <w:ilvl w:val="0"/>
          <w:numId w:val="2"/>
        </w:numPr>
        <w:spacing w:after="80"/>
      </w:pPr>
      <w:r>
        <w:rPr>
          <w:rFonts w:ascii="Arial" w:cs="Arial" w:eastAsia="Arial" w:hAnsi="Arial"/>
          <w:b w:val="false"/>
          <w:bCs w:val="false"/>
          <w:color w:val="111827"/>
          <w:sz w:val="22"/>
          <w:szCs w:val="22"/>
        </w:rPr>
        <w:t xml:space="preserve">If cluster fails validation: grant is not returned, full payment withheld</w:t>
      </w:r>
    </w:p>
    <w:p>
      <w:pPr>
        <w:spacing w:after="100"/>
      </w:pPr>
    </w:p>
    <w:p>
      <w:pPr>
        <w:pStyle w:val="Heading3"/>
        <w:spacing w:before="200" w:after="100"/>
      </w:pPr>
      <w:r>
        <w:rPr>
          <w:rFonts w:ascii="Arial" w:cs="Arial" w:eastAsia="Arial" w:hAnsi="Arial"/>
          <w:b/>
          <w:bCs/>
          <w:color w:val="111827"/>
          <w:sz w:val="22"/>
          <w:szCs w:val="22"/>
        </w:rPr>
        <w:t xml:space="preserve">Validation Standard</w:t>
      </w:r>
    </w:p>
    <w:p>
      <w:pPr>
        <w:pStyle w:val="ListParagraph"/>
        <w:numPr>
          <w:ilvl w:val="0"/>
          <w:numId w:val="2"/>
        </w:numPr>
        <w:spacing w:after="80"/>
      </w:pPr>
      <w:r>
        <w:rPr>
          <w:rFonts w:ascii="Arial" w:cs="Arial" w:eastAsia="Arial" w:hAnsi="Arial"/>
          <w:b w:val="false"/>
          <w:bCs w:val="false"/>
          <w:color w:val="111827"/>
          <w:sz w:val="22"/>
          <w:szCs w:val="22"/>
        </w:rPr>
        <w:t xml:space="preserve">PIC-level review is the first filter — low quality responses are flagged before submission</w:t>
      </w:r>
    </w:p>
    <w:p>
      <w:pPr>
        <w:pStyle w:val="ListParagraph"/>
        <w:numPr>
          <w:ilvl w:val="0"/>
          <w:numId w:val="2"/>
        </w:numPr>
        <w:spacing w:after="80"/>
      </w:pPr>
      <w:r>
        <w:rPr>
          <w:rFonts w:ascii="Arial" w:cs="Arial" w:eastAsia="Arial" w:hAnsi="Arial"/>
          <w:b w:val="false"/>
          <w:bCs w:val="false"/>
          <w:color w:val="111827"/>
          <w:sz w:val="22"/>
          <w:szCs w:val="22"/>
        </w:rPr>
        <w:t xml:space="preserve">PasarSim internal team runs a structured QA check: response completeness, consistency, demographic coverage</w:t>
      </w:r>
    </w:p>
    <w:p>
      <w:pPr>
        <w:pStyle w:val="ListParagraph"/>
        <w:numPr>
          <w:ilvl w:val="0"/>
          <w:numId w:val="2"/>
        </w:numPr>
        <w:spacing w:after="80"/>
      </w:pPr>
      <w:r>
        <w:rPr>
          <w:rFonts w:ascii="Arial" w:cs="Arial" w:eastAsia="Arial" w:hAnsi="Arial"/>
          <w:b w:val="false"/>
          <w:bCs w:val="false"/>
          <w:color w:val="111827"/>
          <w:sz w:val="22"/>
          <w:szCs w:val="22"/>
        </w:rPr>
        <w:t xml:space="preserve">AI-assisted anomaly detection flags suspicious patterns (copy-paste responses, uniform answers, outlier demographics)</w:t>
      </w:r>
    </w:p>
    <w:p>
      <w:pPr>
        <w:pStyle w:val="ListParagraph"/>
        <w:numPr>
          <w:ilvl w:val="0"/>
          <w:numId w:val="2"/>
        </w:numPr>
        <w:spacing w:after="80"/>
      </w:pPr>
      <w:r>
        <w:rPr>
          <w:rFonts w:ascii="Arial" w:cs="Arial" w:eastAsia="Arial" w:hAnsi="Arial"/>
          <w:b w:val="false"/>
          <w:bCs w:val="false"/>
          <w:color w:val="111827"/>
          <w:sz w:val="22"/>
          <w:szCs w:val="22"/>
        </w:rPr>
        <w:t xml:space="preserve">Final call on payment is made by the internal validation team — not automated</w:t>
      </w:r>
    </w:p>
    <w:p>
      <w:pPr>
        <w:spacing w:after="200"/>
      </w:pPr>
    </w:p>
    <w:p>
      <w:pPr>
        <w:pBdr>
          <w:bottom w:val="single" w:color="E5E7EB" w:sz="4" w:space="1"/>
        </w:pBdr>
        <w:spacing w:before="200" w:after="200"/>
      </w:pPr>
    </w:p>
    <w:p>
      <w:pPr>
        <w:pStyle w:val="Heading2"/>
        <w:spacing w:before="280" w:after="120"/>
      </w:pPr>
      <w:r>
        <w:rPr>
          <w:rFonts w:ascii="Arial" w:cs="Arial" w:eastAsia="Arial" w:hAnsi="Arial"/>
          <w:b/>
          <w:bCs/>
          <w:color w:val="1A56DB"/>
          <w:sz w:val="26"/>
          <w:szCs w:val="26"/>
        </w:rPr>
        <w:t xml:space="preserve">System Architecture (Phase 1)</w:t>
      </w:r>
    </w:p>
    <w:p>
      <w:pPr>
        <w:spacing w:after="120"/>
      </w:pPr>
      <w:r>
        <w:rPr>
          <w:rFonts w:ascii="Arial" w:cs="Arial" w:eastAsia="Arial" w:hAnsi="Arial"/>
          <w:color w:val="111827"/>
          <w:sz w:val="22"/>
          <w:szCs w:val="22"/>
        </w:rPr>
        <w:t xml:space="preserve">Architecture is kept lean for Phase 1. No custom ML model until cluster dataset reaches meaningful scale.</w:t>
      </w:r>
    </w:p>
    <w:p>
      <w:pPr>
        <w:spacing w:after="80"/>
      </w:pPr>
    </w:p>
    <w:p>
      <w:pPr>
        <w:spacing w:after="120"/>
      </w:pPr>
      <w:r>
        <w:rPr>
          <w:rFonts w:ascii="Arial" w:cs="Arial" w:eastAsia="Arial" w:hAnsi="Arial"/>
          <w:b/>
          <w:bCs/>
          <w:color w:val="111827"/>
          <w:sz w:val="22"/>
          <w:szCs w:val="22"/>
        </w:rPr>
        <w:t xml:space="preserve">Simulation Flow:</w:t>
      </w:r>
    </w:p>
    <w:p>
      <w:pPr>
        <w:shd w:fill="F3F4F6" w:val="clear"/>
        <w:spacing w:after="120"/>
      </w:pPr>
      <w:r>
        <w:rPr>
          <w:rFonts w:ascii="Courier New" w:cs="Courier New" w:eastAsia="Courier New" w:hAnsi="Courier New"/>
          <w:color w:val="111827"/>
          <w:sz w:val="18"/>
          <w:szCs w:val="18"/>
        </w:rPr>
        <w:t xml:space="preserve">[Business Owner] → Web App (Next.js) → Simulation Request (FastAPI) → Cluster Data Query (Supabase) → AI Synthesis (GPT-4o + Indonesian Cluster Context Prompt) → Structured Report → Web Dashboard</w:t>
      </w:r>
    </w:p>
    <w:p>
      <w:pPr>
        <w:spacing w:after="80"/>
      </w:pPr>
    </w:p>
    <w:p>
      <w:pPr>
        <w:spacing w:after="120"/>
      </w:pPr>
      <w:r>
        <w:rPr>
          <w:rFonts w:ascii="Arial" w:cs="Arial" w:eastAsia="Arial" w:hAnsi="Arial"/>
          <w:b/>
          <w:bCs/>
          <w:color w:val="111827"/>
          <w:sz w:val="22"/>
          <w:szCs w:val="22"/>
        </w:rPr>
        <w:t xml:space="preserve">Cluster Collection Flow:</w:t>
      </w:r>
    </w:p>
    <w:p>
      <w:pPr>
        <w:spacing w:after="120"/>
      </w:pPr>
      <w:r>
        <w:rPr>
          <w:rFonts w:ascii="Courier New" w:cs="Courier New" w:eastAsia="Courier New" w:hAnsi="Courier New"/>
          <w:color w:val="111827"/>
          <w:sz w:val="18"/>
          <w:szCs w:val="18"/>
        </w:rPr>
        <w:t xml:space="preserve">[PIC / Proposer] → Community Group → Standardized Form (Typeform / Google Form) → Airtable (raw responses) → PIC Review → PasarSim Internal QA → Validated Cluster (Supabase) → Live for Simulation</w:t>
      </w:r>
    </w:p>
    <w:p>
      <w:pPr>
        <w:spacing w:after="100"/>
      </w:pPr>
    </w:p>
    <w:p>
      <w:pPr>
        <w:spacing w:after="120"/>
      </w:pPr>
      <w:r>
        <w:rPr>
          <w:rFonts w:ascii="Arial" w:cs="Arial" w:eastAsia="Arial" w:hAnsi="Arial"/>
          <w:color w:val="111827"/>
          <w:sz w:val="22"/>
          <w:szCs w:val="22"/>
        </w:rPr>
        <w:t xml:space="preserve">Tech stack:</w:t>
      </w:r>
    </w:p>
    <w:p>
      <w:pPr>
        <w:pStyle w:val="ListParagraph"/>
        <w:numPr>
          <w:ilvl w:val="0"/>
          <w:numId w:val="2"/>
        </w:numPr>
        <w:spacing w:after="80"/>
      </w:pPr>
      <w:r>
        <w:rPr>
          <w:rFonts w:ascii="Arial" w:cs="Arial" w:eastAsia="Arial" w:hAnsi="Arial"/>
          <w:b w:val="false"/>
          <w:bCs w:val="false"/>
          <w:color w:val="111827"/>
          <w:sz w:val="22"/>
          <w:szCs w:val="22"/>
        </w:rPr>
        <w:t xml:space="preserve">Frontend: Next.js + Tailwind CSS (Vercel)</w:t>
      </w:r>
    </w:p>
    <w:p>
      <w:pPr>
        <w:pStyle w:val="ListParagraph"/>
        <w:numPr>
          <w:ilvl w:val="0"/>
          <w:numId w:val="2"/>
        </w:numPr>
        <w:spacing w:after="80"/>
      </w:pPr>
      <w:r>
        <w:rPr>
          <w:rFonts w:ascii="Arial" w:cs="Arial" w:eastAsia="Arial" w:hAnsi="Arial"/>
          <w:b w:val="false"/>
          <w:bCs w:val="false"/>
          <w:color w:val="111827"/>
          <w:sz w:val="22"/>
          <w:szCs w:val="22"/>
        </w:rPr>
        <w:t xml:space="preserve">Backend: FastAPI (Python, Railway)</w:t>
      </w:r>
    </w:p>
    <w:p>
      <w:pPr>
        <w:pStyle w:val="ListParagraph"/>
        <w:numPr>
          <w:ilvl w:val="0"/>
          <w:numId w:val="2"/>
        </w:numPr>
        <w:spacing w:after="80"/>
      </w:pPr>
      <w:r>
        <w:rPr>
          <w:rFonts w:ascii="Arial" w:cs="Arial" w:eastAsia="Arial" w:hAnsi="Arial"/>
          <w:b w:val="false"/>
          <w:bCs w:val="false"/>
          <w:color w:val="111827"/>
          <w:sz w:val="22"/>
          <w:szCs w:val="22"/>
        </w:rPr>
        <w:t xml:space="preserve">Database: Supabase — cluster data, simulation history, contributor records</w:t>
      </w:r>
    </w:p>
    <w:p>
      <w:pPr>
        <w:pStyle w:val="ListParagraph"/>
        <w:numPr>
          <w:ilvl w:val="0"/>
          <w:numId w:val="2"/>
        </w:numPr>
        <w:spacing w:after="80"/>
      </w:pPr>
      <w:r>
        <w:rPr>
          <w:rFonts w:ascii="Arial" w:cs="Arial" w:eastAsia="Arial" w:hAnsi="Arial"/>
          <w:b w:val="false"/>
          <w:bCs w:val="false"/>
          <w:color w:val="111827"/>
          <w:sz w:val="22"/>
          <w:szCs w:val="22"/>
        </w:rPr>
        <w:t xml:space="preserve">AI Synthesis: GPT-4o via OpenAI API with cluster-specific Indonesian persona system prompt</w:t>
      </w:r>
    </w:p>
    <w:p>
      <w:pPr>
        <w:pStyle w:val="ListParagraph"/>
        <w:numPr>
          <w:ilvl w:val="0"/>
          <w:numId w:val="2"/>
        </w:numPr>
        <w:spacing w:after="80"/>
      </w:pPr>
      <w:r>
        <w:rPr>
          <w:rFonts w:ascii="Arial" w:cs="Arial" w:eastAsia="Arial" w:hAnsi="Arial"/>
          <w:b w:val="false"/>
          <w:bCs w:val="false"/>
          <w:color w:val="111827"/>
          <w:sz w:val="22"/>
          <w:szCs w:val="22"/>
        </w:rPr>
        <w:t xml:space="preserve">Payment: Midtrans (IDR subscriptions and pay-as-you-go credits)</w:t>
      </w:r>
    </w:p>
    <w:p>
      <w:pPr>
        <w:pStyle w:val="ListParagraph"/>
        <w:numPr>
          <w:ilvl w:val="0"/>
          <w:numId w:val="2"/>
        </w:numPr>
        <w:spacing w:after="80"/>
      </w:pPr>
      <w:r>
        <w:rPr>
          <w:rFonts w:ascii="Arial" w:cs="Arial" w:eastAsia="Arial" w:hAnsi="Arial"/>
          <w:b w:val="false"/>
          <w:bCs w:val="false"/>
          <w:color w:val="111827"/>
          <w:sz w:val="22"/>
          <w:szCs w:val="22"/>
        </w:rPr>
        <w:t xml:space="preserve">Cluster Collection: Typeform / Google Forms → Airtable in Phase 1; custom PIC dashboard in Phase 2</w:t>
      </w:r>
    </w:p>
    <w:p>
      <w:pPr>
        <w:pStyle w:val="ListParagraph"/>
        <w:numPr>
          <w:ilvl w:val="0"/>
          <w:numId w:val="2"/>
        </w:numPr>
        <w:spacing w:after="80"/>
      </w:pPr>
      <w:r>
        <w:rPr>
          <w:rFonts w:ascii="Arial" w:cs="Arial" w:eastAsia="Arial" w:hAnsi="Arial"/>
          <w:b w:val="false"/>
          <w:bCs w:val="false"/>
          <w:color w:val="111827"/>
          <w:sz w:val="22"/>
          <w:szCs w:val="22"/>
        </w:rPr>
        <w:t xml:space="preserve">Notifications: WhatsApp Business API for simulation delivery and PIC alerts</w:t>
      </w:r>
    </w:p>
    <w:p>
      <w:pPr>
        <w:spacing w:after="200"/>
      </w:pPr>
    </w:p>
    <w:p>
      <w:pPr>
        <w:pBdr>
          <w:bottom w:val="single" w:color="E5E7EB" w:sz="4" w:space="1"/>
        </w:pBdr>
        <w:spacing w:before="200" w:after="200"/>
      </w:pPr>
    </w:p>
    <w:p>
      <w:pPr>
        <w:pStyle w:val="Heading2"/>
        <w:spacing w:before="280" w:after="120"/>
      </w:pPr>
      <w:r>
        <w:rPr>
          <w:rFonts w:ascii="Arial" w:cs="Arial" w:eastAsia="Arial" w:hAnsi="Arial"/>
          <w:b/>
          <w:bCs/>
          <w:color w:val="1A56DB"/>
          <w:sz w:val="26"/>
          <w:szCs w:val="26"/>
        </w:rPr>
        <w:t xml:space="preserve">Approaches Considered</w:t>
      </w:r>
    </w:p>
    <w:p>
      <w:pPr>
        <w:spacing w:after="80"/>
      </w:pPr>
    </w:p>
    <w:p>
      <w:pPr>
        <w:pStyle w:val="Heading3"/>
        <w:spacing w:before="200" w:after="100"/>
      </w:pPr>
      <w:r>
        <w:rPr>
          <w:rFonts w:ascii="Arial" w:cs="Arial" w:eastAsia="Arial" w:hAnsi="Arial"/>
          <w:b/>
          <w:bCs/>
          <w:color w:val="111827"/>
          <w:sz w:val="22"/>
          <w:szCs w:val="22"/>
        </w:rPr>
        <w:t xml:space="preserve">Approach A: "Demo Mode" — AI Simulation Without Real Cluster Data</w:t>
      </w:r>
    </w:p>
    <w:p>
      <w:pPr>
        <w:spacing w:after="120"/>
      </w:pPr>
      <w:r>
        <w:rPr>
          <w:rFonts w:ascii="Arial" w:cs="Arial" w:eastAsia="Arial" w:hAnsi="Arial"/>
          <w:color w:val="111827"/>
          <w:sz w:val="22"/>
          <w:szCs w:val="22"/>
        </w:rPr>
        <w:t xml:space="preserve">GPT-4o prompted with generic Indonesian consumer persona descriptions. No real data. Fast to build.</w:t>
      </w:r>
    </w:p>
    <w:p>
      <w:pPr>
        <w:pStyle w:val="ListParagraph"/>
        <w:numPr>
          <w:ilvl w:val="0"/>
          <w:numId w:val="2"/>
        </w:numPr>
        <w:spacing w:after="80"/>
      </w:pPr>
      <w:r>
        <w:rPr>
          <w:rFonts w:ascii="Arial" w:cs="Arial" w:eastAsia="Arial" w:hAnsi="Arial"/>
          <w:b w:val="false"/>
          <w:bCs w:val="false"/>
          <w:color w:val="111827"/>
          <w:sz w:val="22"/>
          <w:szCs w:val="22"/>
        </w:rPr>
        <w:t xml:space="preserve">Effort: S  |  Risk: Low short-term, no moat long-term</w:t>
      </w:r>
    </w:p>
    <w:p>
      <w:pPr>
        <w:pStyle w:val="ListParagraph"/>
        <w:numPr>
          <w:ilvl w:val="0"/>
          <w:numId w:val="2"/>
        </w:numPr>
        <w:spacing w:after="80"/>
      </w:pPr>
      <w:r>
        <w:rPr>
          <w:rFonts w:ascii="Arial" w:cs="Arial" w:eastAsia="Arial" w:hAnsi="Arial"/>
          <w:b w:val="false"/>
          <w:bCs w:val="false"/>
          <w:color w:val="111827"/>
          <w:sz w:val="22"/>
          <w:szCs w:val="22"/>
        </w:rPr>
        <w:t xml:space="preserve">Pros: Demonstrable in hours; good for hackathon or early investor pitch</w:t>
      </w:r>
    </w:p>
    <w:p>
      <w:pPr>
        <w:pStyle w:val="ListParagraph"/>
        <w:numPr>
          <w:ilvl w:val="0"/>
          <w:numId w:val="2"/>
        </w:numPr>
        <w:spacing w:after="80"/>
      </w:pPr>
      <w:r>
        <w:rPr>
          <w:rFonts w:ascii="Arial" w:cs="Arial" w:eastAsia="Arial" w:hAnsi="Arial"/>
          <w:b w:val="false"/>
          <w:bCs w:val="false"/>
          <w:color w:val="111827"/>
          <w:sz w:val="22"/>
          <w:szCs w:val="22"/>
        </w:rPr>
        <w:t xml:space="preserve">Cons: Competitors can copy overnight; simulation quality is generic, not localized; no defensibility</w:t>
      </w:r>
    </w:p>
    <w:p>
      <w:pPr>
        <w:spacing w:after="100"/>
      </w:pPr>
    </w:p>
    <w:p>
      <w:pPr>
        <w:pStyle w:val="Heading3"/>
        <w:spacing w:before="200" w:after="100"/>
      </w:pPr>
      <w:r>
        <w:rPr>
          <w:rFonts w:ascii="Arial" w:cs="Arial" w:eastAsia="Arial" w:hAnsi="Arial"/>
          <w:b/>
          <w:bCs/>
          <w:color w:val="111827"/>
          <w:sz w:val="22"/>
          <w:szCs w:val="22"/>
        </w:rPr>
        <w:t xml:space="preserve">Approach B: "Full Data Pipeline" — Scraped + Licensed Indonesian Market Data</w:t>
      </w:r>
    </w:p>
    <w:p>
      <w:pPr>
        <w:spacing w:after="120"/>
      </w:pPr>
      <w:r>
        <w:rPr>
          <w:rFonts w:ascii="Arial" w:cs="Arial" w:eastAsia="Arial" w:hAnsi="Arial"/>
          <w:color w:val="111827"/>
          <w:sz w:val="22"/>
          <w:szCs w:val="22"/>
        </w:rPr>
        <w:t xml:space="preserve">Scrape Gofood, Grabfood, Google Maps reviews. License demographic data from telco or government. Fine-tune model on local behavior.</w:t>
      </w:r>
    </w:p>
    <w:p>
      <w:pPr>
        <w:pStyle w:val="ListParagraph"/>
        <w:numPr>
          <w:ilvl w:val="0"/>
          <w:numId w:val="2"/>
        </w:numPr>
        <w:spacing w:after="80"/>
      </w:pPr>
      <w:r>
        <w:rPr>
          <w:rFonts w:ascii="Arial" w:cs="Arial" w:eastAsia="Arial" w:hAnsi="Arial"/>
          <w:b w:val="false"/>
          <w:bCs w:val="false"/>
          <w:color w:val="111827"/>
          <w:sz w:val="22"/>
          <w:szCs w:val="22"/>
        </w:rPr>
        <w:t xml:space="preserve">Effort: XL  |  Risk: High — data acquisition is complex, expensive, legally uncertain</w:t>
      </w:r>
    </w:p>
    <w:p>
      <w:pPr>
        <w:pStyle w:val="ListParagraph"/>
        <w:numPr>
          <w:ilvl w:val="0"/>
          <w:numId w:val="2"/>
        </w:numPr>
        <w:spacing w:after="80"/>
      </w:pPr>
      <w:r>
        <w:rPr>
          <w:rFonts w:ascii="Arial" w:cs="Arial" w:eastAsia="Arial" w:hAnsi="Arial"/>
          <w:b w:val="false"/>
          <w:bCs w:val="false"/>
          <w:color w:val="111827"/>
          <w:sz w:val="22"/>
          <w:szCs w:val="22"/>
        </w:rPr>
        <w:t xml:space="preserve">Pros: Real moat if executed; fundable at Series A</w:t>
      </w:r>
    </w:p>
    <w:p>
      <w:pPr>
        <w:pStyle w:val="ListParagraph"/>
        <w:numPr>
          <w:ilvl w:val="0"/>
          <w:numId w:val="2"/>
        </w:numPr>
        <w:spacing w:after="80"/>
      </w:pPr>
      <w:r>
        <w:rPr>
          <w:rFonts w:ascii="Arial" w:cs="Arial" w:eastAsia="Arial" w:hAnsi="Arial"/>
          <w:b w:val="false"/>
          <w:bCs w:val="false"/>
          <w:color w:val="111827"/>
          <w:sz w:val="22"/>
          <w:szCs w:val="22"/>
        </w:rPr>
        <w:t xml:space="preserve">Cons: Not viable pre-revenue; requires data partnerships and legal clearance</w:t>
      </w:r>
    </w:p>
    <w:p>
      <w:pPr>
        <w:spacing w:after="100"/>
      </w:pPr>
    </w:p>
    <w:p>
      <w:pPr>
        <w:pStyle w:val="Heading3"/>
        <w:spacing w:before="200" w:after="100"/>
      </w:pPr>
      <w:r>
        <w:rPr>
          <w:rFonts w:ascii="Arial" w:cs="Arial" w:eastAsia="Arial" w:hAnsi="Arial"/>
          <w:b/>
          <w:bCs/>
          <w:color w:val="111827"/>
          <w:sz w:val="22"/>
          <w:szCs w:val="22"/>
        </w:rPr>
        <w:t xml:space="preserve">Approach C: "Community Cluster" — Real Humans, Structured Data, AI Synthesis (Recommended)</w:t>
      </w:r>
    </w:p>
    <w:p>
      <w:pPr>
        <w:spacing w:after="120"/>
      </w:pPr>
      <w:r>
        <w:rPr>
          <w:rFonts w:ascii="Arial" w:cs="Arial" w:eastAsia="Arial" w:hAnsi="Arial"/>
          <w:color w:val="111827"/>
          <w:sz w:val="22"/>
          <w:szCs w:val="22"/>
        </w:rPr>
        <w:t xml:space="preserve">Build proprietary cluster datasets through community manager networks and self-initialized proposals. Synthesize with AI. Every validated response becomes training data for the future model.</w:t>
      </w:r>
    </w:p>
    <w:p>
      <w:pPr>
        <w:pStyle w:val="ListParagraph"/>
        <w:numPr>
          <w:ilvl w:val="0"/>
          <w:numId w:val="2"/>
        </w:numPr>
        <w:spacing w:after="80"/>
      </w:pPr>
      <w:r>
        <w:rPr>
          <w:rFonts w:ascii="Arial" w:cs="Arial" w:eastAsia="Arial" w:hAnsi="Arial"/>
          <w:b w:val="false"/>
          <w:bCs w:val="false"/>
          <w:color w:val="111827"/>
          <w:sz w:val="22"/>
          <w:szCs w:val="22"/>
        </w:rPr>
        <w:t xml:space="preserve">Effort: M  |  Risk: Medium — requires ops discipline and PIC network</w:t>
      </w:r>
    </w:p>
    <w:p>
      <w:pPr>
        <w:pStyle w:val="ListParagraph"/>
        <w:numPr>
          <w:ilvl w:val="0"/>
          <w:numId w:val="2"/>
        </w:numPr>
        <w:spacing w:after="80"/>
      </w:pPr>
      <w:r>
        <w:rPr>
          <w:rFonts w:ascii="Arial" w:cs="Arial" w:eastAsia="Arial" w:hAnsi="Arial"/>
          <w:b w:val="false"/>
          <w:bCs w:val="false"/>
          <w:color w:val="111827"/>
          <w:sz w:val="22"/>
          <w:szCs w:val="22"/>
        </w:rPr>
        <w:t xml:space="preserve">Pros: Real local data from day one; defensible moat that grows with each cluster; eventual path to Approach B</w:t>
      </w:r>
    </w:p>
    <w:p>
      <w:pPr>
        <w:pStyle w:val="ListParagraph"/>
        <w:numPr>
          <w:ilvl w:val="0"/>
          <w:numId w:val="2"/>
        </w:numPr>
        <w:spacing w:after="80"/>
      </w:pPr>
      <w:r>
        <w:rPr>
          <w:rFonts w:ascii="Arial" w:cs="Arial" w:eastAsia="Arial" w:hAnsi="Arial"/>
          <w:b w:val="false"/>
          <w:bCs w:val="false"/>
          <w:color w:val="111827"/>
          <w:sz w:val="22"/>
          <w:szCs w:val="22"/>
        </w:rPr>
        <w:t xml:space="preserve">Cons: Slower than pure AI; quality depends on PIC network quality</w:t>
      </w:r>
    </w:p>
    <w:p>
      <w:pPr>
        <w:spacing w:after="200"/>
      </w:pPr>
    </w:p>
    <w:p>
      <w:pPr>
        <w:pBdr>
          <w:bottom w:val="single" w:color="E5E7EB" w:sz="4" w:space="1"/>
        </w:pBdr>
        <w:spacing w:before="200" w:after="200"/>
      </w:pPr>
    </w:p>
    <w:p>
      <w:pPr>
        <w:pStyle w:val="Heading2"/>
        <w:spacing w:before="280" w:after="120"/>
      </w:pPr>
      <w:r>
        <w:rPr>
          <w:rFonts w:ascii="Arial" w:cs="Arial" w:eastAsia="Arial" w:hAnsi="Arial"/>
          <w:b/>
          <w:bCs/>
          <w:color w:val="1A56DB"/>
          <w:sz w:val="26"/>
          <w:szCs w:val="26"/>
        </w:rPr>
        <w:t xml:space="preserve">Recommended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6D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DECISION</w:t>
            </w:r>
          </w:p>
        </w:tc>
        <w:tc>
          <w:tcPr>
            <w:tcW w:type="dxa" w:w="8160"/>
            <w:tcBorders>
              <w:top w:val="none" w:color="FFFFFF" w:sz="0"/>
              <w:left w:val="none" w:color="FFFFFF" w:sz="0"/>
              <w:bottom w:val="none" w:color="FFFFFF" w:sz="0"/>
              <w:right w:val="none" w:color="FFFFFF" w:sz="0"/>
            </w:tcBorders>
            <w:shd w:fill="E5EDFF" w:val="clear"/>
            <w:tcMar>
              <w:top w:type="dxa" w:w="120"/>
              <w:left w:type="dxa" w:w="200"/>
              <w:bottom w:type="dxa" w:w="120"/>
              <w:right w:type="dxa" w:w="160"/>
            </w:tcMar>
          </w:tcPr>
          <w:p>
            <w:r>
              <w:rPr>
                <w:rFonts w:ascii="Arial" w:cs="Arial" w:eastAsia="Arial" w:hAnsi="Arial"/>
                <w:i/>
                <w:iCs/>
                <w:color w:val="111827"/>
                <w:sz w:val="22"/>
                <w:szCs w:val="22"/>
              </w:rPr>
              <w:t xml:space="preserve">Build Approach C. The community cluster model generates the proprietary Indonesian local data that PasarSim's simulation quality depends on. AI alone cannot replicate what real people in Gading Serpong know about Gading Serpong.</w:t>
            </w:r>
          </w:p>
        </w:tc>
      </w:tr>
    </w:tbl>
    <w:p>
      <w:pPr>
        <w:spacing w:after="100"/>
      </w:pPr>
    </w:p>
    <w:p>
      <w:pPr>
        <w:pStyle w:val="Heading3"/>
        <w:spacing w:before="200" w:after="100"/>
      </w:pPr>
      <w:r>
        <w:rPr>
          <w:rFonts w:ascii="Arial" w:cs="Arial" w:eastAsia="Arial" w:hAnsi="Arial"/>
          <w:b/>
          <w:bCs/>
          <w:color w:val="111827"/>
          <w:sz w:val="22"/>
          <w:szCs w:val="22"/>
        </w:rPr>
        <w:t xml:space="preserve">Phase 1 (Months 1–6): Manual Cluster Ops + AI Synthesis</w:t>
      </w:r>
    </w:p>
    <w:p>
      <w:pPr>
        <w:pStyle w:val="ListParagraph"/>
        <w:numPr>
          <w:ilvl w:val="0"/>
          <w:numId w:val="2"/>
        </w:numPr>
        <w:spacing w:after="80"/>
      </w:pPr>
      <w:r>
        <w:rPr>
          <w:rFonts w:ascii="Arial" w:cs="Arial" w:eastAsia="Arial" w:hAnsi="Arial"/>
          <w:b w:val="false"/>
          <w:bCs w:val="false"/>
          <w:color w:val="111827"/>
          <w:sz w:val="22"/>
          <w:szCs w:val="22"/>
        </w:rPr>
        <w:t xml:space="preserve">Initialize 3–5 pilot clusters in Jabodetabek F&amp;B corridors with known PICs</w:t>
      </w:r>
    </w:p>
    <w:p>
      <w:pPr>
        <w:pStyle w:val="ListParagraph"/>
        <w:numPr>
          <w:ilvl w:val="0"/>
          <w:numId w:val="2"/>
        </w:numPr>
        <w:spacing w:after="80"/>
      </w:pPr>
      <w:r>
        <w:rPr>
          <w:rFonts w:ascii="Arial" w:cs="Arial" w:eastAsia="Arial" w:hAnsi="Arial"/>
          <w:b w:val="false"/>
          <w:bCs w:val="false"/>
          <w:color w:val="111827"/>
          <w:sz w:val="22"/>
          <w:szCs w:val="22"/>
        </w:rPr>
        <w:t xml:space="preserve">Build the standardized form template (mandatory question set) and proposal submission process</w:t>
      </w:r>
    </w:p>
    <w:p>
      <w:pPr>
        <w:pStyle w:val="ListParagraph"/>
        <w:numPr>
          <w:ilvl w:val="0"/>
          <w:numId w:val="2"/>
        </w:numPr>
        <w:spacing w:after="80"/>
      </w:pPr>
      <w:r>
        <w:rPr>
          <w:rFonts w:ascii="Arial" w:cs="Arial" w:eastAsia="Arial" w:hAnsi="Arial"/>
          <w:b w:val="false"/>
          <w:bCs w:val="false"/>
          <w:color w:val="111827"/>
          <w:sz w:val="22"/>
          <w:szCs w:val="22"/>
        </w:rPr>
        <w:t xml:space="preserve">Run first 20 paid simulations manually — business owner inputs concept, team synthesizes against cluster data using GPT-4o</w:t>
      </w:r>
    </w:p>
    <w:p>
      <w:pPr>
        <w:pStyle w:val="ListParagraph"/>
        <w:numPr>
          <w:ilvl w:val="0"/>
          <w:numId w:val="2"/>
        </w:numPr>
        <w:spacing w:after="80"/>
      </w:pPr>
      <w:r>
        <w:rPr>
          <w:rFonts w:ascii="Arial" w:cs="Arial" w:eastAsia="Arial" w:hAnsi="Arial"/>
          <w:b w:val="false"/>
          <w:bCs w:val="false"/>
          <w:color w:val="111827"/>
          <w:sz w:val="22"/>
          <w:szCs w:val="22"/>
        </w:rPr>
        <w:t xml:space="preserve">Validate willingness-to-pay: does a business owner pay Rp 75K for a simulation that replaces Rp 5M of manual research?</w:t>
      </w:r>
    </w:p>
    <w:p>
      <w:pPr>
        <w:pStyle w:val="ListParagraph"/>
        <w:numPr>
          <w:ilvl w:val="0"/>
          <w:numId w:val="2"/>
        </w:numPr>
        <w:spacing w:after="80"/>
      </w:pPr>
      <w:r>
        <w:rPr>
          <w:rFonts w:ascii="Arial" w:cs="Arial" w:eastAsia="Arial" w:hAnsi="Arial"/>
          <w:b w:val="false"/>
          <w:bCs w:val="false"/>
          <w:color w:val="111827"/>
          <w:sz w:val="22"/>
          <w:szCs w:val="22"/>
        </w:rPr>
        <w:t xml:space="preserve">Log every cluster response to a structured dataset: {area, archetype, response, quality_score, cluster_id}</w:t>
      </w:r>
    </w:p>
    <w:p>
      <w:pPr>
        <w:spacing w:after="100"/>
      </w:pPr>
    </w:p>
    <w:p>
      <w:pPr>
        <w:pStyle w:val="Heading3"/>
        <w:spacing w:before="200" w:after="100"/>
      </w:pPr>
      <w:r>
        <w:rPr>
          <w:rFonts w:ascii="Arial" w:cs="Arial" w:eastAsia="Arial" w:hAnsi="Arial"/>
          <w:b/>
          <w:bCs/>
          <w:color w:val="111827"/>
          <w:sz w:val="22"/>
          <w:szCs w:val="22"/>
        </w:rPr>
        <w:t xml:space="preserve">Phase 2 (Months 7–12): Self-Service Platform + Cluster Marketplace</w:t>
      </w:r>
    </w:p>
    <w:p>
      <w:pPr>
        <w:pStyle w:val="ListParagraph"/>
        <w:numPr>
          <w:ilvl w:val="0"/>
          <w:numId w:val="2"/>
        </w:numPr>
        <w:spacing w:after="80"/>
      </w:pPr>
      <w:r>
        <w:rPr>
          <w:rFonts w:ascii="Arial" w:cs="Arial" w:eastAsia="Arial" w:hAnsi="Arial"/>
          <w:b w:val="false"/>
          <w:bCs w:val="false"/>
          <w:color w:val="111827"/>
          <w:sz w:val="22"/>
          <w:szCs w:val="22"/>
        </w:rPr>
        <w:t xml:space="preserve">Launch self-service simulation web app — business owner submits concept and selects cluster, system returns report automatically</w:t>
      </w:r>
    </w:p>
    <w:p>
      <w:pPr>
        <w:pStyle w:val="ListParagraph"/>
        <w:numPr>
          <w:ilvl w:val="0"/>
          <w:numId w:val="2"/>
        </w:numPr>
        <w:spacing w:after="80"/>
      </w:pPr>
      <w:r>
        <w:rPr>
          <w:rFonts w:ascii="Arial" w:cs="Arial" w:eastAsia="Arial" w:hAnsi="Arial"/>
          <w:b w:val="false"/>
          <w:bCs w:val="false"/>
          <w:color w:val="111827"/>
          <w:sz w:val="22"/>
          <w:szCs w:val="22"/>
        </w:rPr>
        <w:t xml:space="preserve">Open self-initialized cluster proposal pipeline — anyone can propose a new cluster</w:t>
      </w:r>
    </w:p>
    <w:p>
      <w:pPr>
        <w:pStyle w:val="ListParagraph"/>
        <w:numPr>
          <w:ilvl w:val="0"/>
          <w:numId w:val="2"/>
        </w:numPr>
        <w:spacing w:after="80"/>
      </w:pPr>
      <w:r>
        <w:rPr>
          <w:rFonts w:ascii="Arial" w:cs="Arial" w:eastAsia="Arial" w:hAnsi="Arial"/>
          <w:b w:val="false"/>
          <w:bCs w:val="false"/>
          <w:color w:val="111827"/>
          <w:sz w:val="22"/>
          <w:szCs w:val="22"/>
        </w:rPr>
        <w:t xml:space="preserve">Introduce Builder and Pro subscription tiers</w:t>
      </w:r>
    </w:p>
    <w:p>
      <w:pPr>
        <w:pStyle w:val="ListParagraph"/>
        <w:numPr>
          <w:ilvl w:val="0"/>
          <w:numId w:val="2"/>
        </w:numPr>
        <w:spacing w:after="80"/>
      </w:pPr>
      <w:r>
        <w:rPr>
          <w:rFonts w:ascii="Arial" w:cs="Arial" w:eastAsia="Arial" w:hAnsi="Arial"/>
          <w:b w:val="false"/>
          <w:bCs w:val="false"/>
          <w:color w:val="111827"/>
          <w:sz w:val="22"/>
          <w:szCs w:val="22"/>
        </w:rPr>
        <w:t xml:space="preserve">Target: 200 simulations run, 15 active clusters, Rp 50M MRR</w:t>
      </w:r>
    </w:p>
    <w:p>
      <w:pPr>
        <w:spacing w:after="200"/>
      </w:pPr>
    </w:p>
    <w:p>
      <w:pPr>
        <w:pBdr>
          <w:bottom w:val="single" w:color="E5E7EB" w:sz="4" w:space="1"/>
        </w:pBdr>
        <w:spacing w:before="200" w:after="200"/>
      </w:pPr>
    </w:p>
    <w:p>
      <w:pPr>
        <w:pStyle w:val="Heading2"/>
        <w:spacing w:before="280" w:after="120"/>
      </w:pPr>
      <w:r>
        <w:rPr>
          <w:rFonts w:ascii="Arial" w:cs="Arial" w:eastAsia="Arial" w:hAnsi="Arial"/>
          <w:b/>
          <w:bCs/>
          <w:color w:val="1A56DB"/>
          <w:sz w:val="26"/>
          <w:szCs w:val="26"/>
        </w:rPr>
        <w:t xml:space="preserve">Open Questions</w:t>
      </w:r>
    </w:p>
    <w:p>
      <w:pPr>
        <w:pStyle w:val="ListParagraph"/>
        <w:numPr>
          <w:ilvl w:val="0"/>
          <w:numId w:val="3"/>
        </w:numPr>
        <w:spacing w:after="80"/>
      </w:pPr>
      <w:r>
        <w:rPr>
          <w:rFonts w:ascii="Arial" w:cs="Arial" w:eastAsia="Arial" w:hAnsi="Arial"/>
          <w:color w:val="111827"/>
          <w:sz w:val="22"/>
          <w:szCs w:val="22"/>
        </w:rPr>
        <w:t xml:space="preserve">Cluster cold start: how do we get the first 3 PICs? What is the recruitment channel — UMKM community WhatsApp groups, existing networks, university partnerships?</w:t>
      </w:r>
    </w:p>
    <w:p>
      <w:pPr>
        <w:pStyle w:val="ListParagraph"/>
        <w:numPr>
          <w:ilvl w:val="0"/>
          <w:numId w:val="3"/>
        </w:numPr>
        <w:spacing w:after="80"/>
      </w:pPr>
      <w:r>
        <w:rPr>
          <w:rFonts w:ascii="Arial" w:cs="Arial" w:eastAsia="Arial" w:hAnsi="Arial"/>
          <w:color w:val="111827"/>
          <w:sz w:val="22"/>
          <w:szCs w:val="22"/>
        </w:rPr>
        <w:t xml:space="preserve">Form quality enforcement: what prevents PICs from submitting low-effort responses to collect payment? Minimum response length requirements? Random spot-check audits?</w:t>
      </w:r>
    </w:p>
    <w:p>
      <w:pPr>
        <w:pStyle w:val="ListParagraph"/>
        <w:numPr>
          <w:ilvl w:val="0"/>
          <w:numId w:val="3"/>
        </w:numPr>
        <w:spacing w:after="80"/>
      </w:pPr>
      <w:r>
        <w:rPr>
          <w:rFonts w:ascii="Arial" w:cs="Arial" w:eastAsia="Arial" w:hAnsi="Arial"/>
          <w:color w:val="111827"/>
          <w:sz w:val="22"/>
          <w:szCs w:val="22"/>
        </w:rPr>
        <w:t xml:space="preserve">Simulation accuracy story: how do we prove the simulation is right? Need a case study — 'we simulated this cafe's concept, here is what the data said, here is what actually happened after launch.'</w:t>
      </w:r>
    </w:p>
    <w:p>
      <w:pPr>
        <w:pStyle w:val="ListParagraph"/>
        <w:numPr>
          <w:ilvl w:val="0"/>
          <w:numId w:val="3"/>
        </w:numPr>
        <w:spacing w:after="80"/>
      </w:pPr>
      <w:r>
        <w:rPr>
          <w:rFonts w:ascii="Arial" w:cs="Arial" w:eastAsia="Arial" w:hAnsi="Arial"/>
          <w:color w:val="111827"/>
          <w:sz w:val="22"/>
          <w:szCs w:val="22"/>
        </w:rPr>
        <w:t xml:space="preserve">Legal: cluster contributor payments — does Rp 2M–5M per cluster require tax documentation under Indonesian gig economy rules?</w:t>
      </w:r>
    </w:p>
    <w:p>
      <w:pPr>
        <w:pStyle w:val="ListParagraph"/>
        <w:numPr>
          <w:ilvl w:val="0"/>
          <w:numId w:val="3"/>
        </w:numPr>
        <w:spacing w:after="80"/>
      </w:pPr>
      <w:r>
        <w:rPr>
          <w:rFonts w:ascii="Arial" w:cs="Arial" w:eastAsia="Arial" w:hAnsi="Arial"/>
          <w:color w:val="111827"/>
          <w:sz w:val="22"/>
          <w:szCs w:val="22"/>
        </w:rPr>
        <w:t xml:space="preserve">WhatsApp Business API: Meta's approval process takes weeks. Apply immediately.</w:t>
      </w:r>
    </w:p>
    <w:p>
      <w:pPr>
        <w:pStyle w:val="ListParagraph"/>
        <w:numPr>
          <w:ilvl w:val="0"/>
          <w:numId w:val="3"/>
        </w:numPr>
        <w:spacing w:after="80"/>
      </w:pPr>
      <w:r>
        <w:rPr>
          <w:rFonts w:ascii="Arial" w:cs="Arial" w:eastAsia="Arial" w:hAnsi="Arial"/>
          <w:color w:val="111827"/>
          <w:sz w:val="22"/>
          <w:szCs w:val="22"/>
        </w:rPr>
        <w:t xml:space="preserve">Pricing sensitivity: is Rp 150K/month the right Explorer entry point, or does Rp 75K per simulation (pay-as-you-go) convert better for first-time users?</w:t>
      </w:r>
    </w:p>
    <w:p>
      <w:pPr>
        <w:spacing w:after="200"/>
      </w:pPr>
    </w:p>
    <w:p>
      <w:pPr>
        <w:pBdr>
          <w:bottom w:val="single" w:color="E5E7EB" w:sz="4" w:space="1"/>
        </w:pBdr>
        <w:spacing w:before="200" w:after="200"/>
      </w:pPr>
    </w:p>
    <w:p>
      <w:pPr>
        <w:pStyle w:val="Heading2"/>
        <w:spacing w:before="280" w:after="120"/>
      </w:pPr>
      <w:r>
        <w:rPr>
          <w:rFonts w:ascii="Arial" w:cs="Arial" w:eastAsia="Arial" w:hAnsi="Arial"/>
          <w:b/>
          <w:bCs/>
          <w:color w:val="1A56DB"/>
          <w:sz w:val="26"/>
          <w:szCs w:val="26"/>
        </w:rPr>
        <w:t xml:space="preserve">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468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Milestone</w:t>
            </w:r>
          </w:p>
        </w:tc>
        <w:tc>
          <w:tcPr>
            <w:tcW w:type="dxa" w:w="468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60"/>
            </w:tcMar>
          </w:tcPr>
          <w:p>
            <w:r>
              <w:rPr>
                <w:rFonts w:ascii="Arial" w:cs="Arial" w:eastAsia="Arial" w:hAnsi="Arial"/>
                <w:b/>
                <w:bCs/>
                <w:color w:val="FFFFFF"/>
                <w:sz w:val="20"/>
                <w:szCs w:val="20"/>
              </w:rPr>
              <w:t xml:space="preserve">Criteria</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Month 1</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3 pilot clusters live; 5 business owners pay for a manual simulation report</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11827"/>
                <w:sz w:val="20"/>
                <w:szCs w:val="20"/>
              </w:rPr>
              <w:t xml:space="preserve">Month 3</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11827"/>
                <w:sz w:val="20"/>
                <w:szCs w:val="20"/>
              </w:rPr>
              <w:t xml:space="preserve">10 clusters live; 50 simulations run; PIC retention &gt;70%</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Month 6</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20 clusters across Jabodetabek; 200 simulations run; first subscription tier revenue</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11827"/>
                <w:sz w:val="20"/>
                <w:szCs w:val="20"/>
              </w:rPr>
              <w:t xml:space="preserve">Month 12</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11827"/>
                <w:sz w:val="20"/>
                <w:szCs w:val="20"/>
              </w:rPr>
              <w:t xml:space="preserve">50 clusters; Rp 50M MRR; first agency Pro account; self-service platform live</w:t>
            </w:r>
          </w:p>
        </w:tc>
      </w:tr>
    </w:tbl>
    <w:p>
      <w:pPr>
        <w:spacing w:after="200"/>
      </w:pPr>
    </w:p>
    <w:p>
      <w:pPr>
        <w:pBdr>
          <w:bottom w:val="single" w:color="E5E7EB" w:sz="4" w:space="1"/>
        </w:pBdr>
        <w:spacing w:before="200" w:after="200"/>
      </w:pPr>
    </w:p>
    <w:p>
      <w:pPr>
        <w:pStyle w:val="Heading2"/>
        <w:spacing w:before="280" w:after="120"/>
      </w:pPr>
      <w:r>
        <w:rPr>
          <w:rFonts w:ascii="Arial" w:cs="Arial" w:eastAsia="Arial" w:hAnsi="Arial"/>
          <w:b/>
          <w:bCs/>
          <w:color w:val="1A56DB"/>
          <w:sz w:val="26"/>
          <w:szCs w:val="26"/>
        </w:rPr>
        <w:t xml:space="preserve">Distribution Plan</w:t>
      </w:r>
    </w:p>
    <w:p>
      <w:pPr>
        <w:pStyle w:val="ListParagraph"/>
        <w:numPr>
          <w:ilvl w:val="0"/>
          <w:numId w:val="2"/>
        </w:numPr>
        <w:spacing w:after="80"/>
      </w:pPr>
      <w:r>
        <w:rPr>
          <w:rFonts w:ascii="Arial" w:cs="Arial" w:eastAsia="Arial" w:hAnsi="Arial"/>
          <w:b w:val="false"/>
          <w:bCs w:val="false"/>
          <w:color w:val="111827"/>
          <w:sz w:val="22"/>
          <w:szCs w:val="22"/>
        </w:rPr>
        <w:t xml:space="preserve">Channel 1 (Months 1–6): UMKM owner communities on WhatsApp, Facebook Groups (komunitas bisnis Tangerang, pemilik cafe Jabodetabek). Direct outreach to business owners actively asking location questions.</w:t>
      </w:r>
    </w:p>
    <w:p>
      <w:pPr>
        <w:pStyle w:val="ListParagraph"/>
        <w:numPr>
          <w:ilvl w:val="0"/>
          <w:numId w:val="2"/>
        </w:numPr>
        <w:spacing w:after="80"/>
      </w:pPr>
      <w:r>
        <w:rPr>
          <w:rFonts w:ascii="Arial" w:cs="Arial" w:eastAsia="Arial" w:hAnsi="Arial"/>
          <w:b w:val="false"/>
          <w:bCs w:val="false"/>
          <w:color w:val="111827"/>
          <w:sz w:val="22"/>
          <w:szCs w:val="22"/>
        </w:rPr>
        <w:t xml:space="preserve">Channel 2 (Months 1–6): Content marketing — 'we simulated this cafe concept, here's what the data said before they opened.' TikTok and Instagram. Make the simulation output the marketing.</w:t>
      </w:r>
    </w:p>
    <w:p>
      <w:pPr>
        <w:pStyle w:val="ListParagraph"/>
        <w:numPr>
          <w:ilvl w:val="0"/>
          <w:numId w:val="2"/>
        </w:numPr>
        <w:spacing w:after="80"/>
      </w:pPr>
      <w:r>
        <w:rPr>
          <w:rFonts w:ascii="Arial" w:cs="Arial" w:eastAsia="Arial" w:hAnsi="Arial"/>
          <w:b w:val="false"/>
          <w:bCs w:val="false"/>
          <w:color w:val="111827"/>
          <w:sz w:val="22"/>
          <w:szCs w:val="22"/>
        </w:rPr>
        <w:t xml:space="preserve">Channel 3 (Year 2): Partnership — UMKM Go Digital program, incubators, local government economic development offices. Only after 200+ paying users.</w:t>
      </w:r>
    </w:p>
    <w:p>
      <w:pPr>
        <w:pStyle w:val="ListParagraph"/>
        <w:numPr>
          <w:ilvl w:val="0"/>
          <w:numId w:val="2"/>
        </w:numPr>
        <w:spacing w:after="80"/>
      </w:pPr>
      <w:r>
        <w:rPr>
          <w:rFonts w:ascii="Arial" w:cs="Arial" w:eastAsia="Arial" w:hAnsi="Arial"/>
          <w:b w:val="false"/>
          <w:bCs w:val="false"/>
          <w:color w:val="111827"/>
          <w:sz w:val="22"/>
          <w:szCs w:val="22"/>
        </w:rPr>
        <w:t xml:space="preserve">Channel 4 (Year 2, opportunistic): Agency resellers — respond to inbound agency interest when Pro tier is live. Do not chase agencies before the product can handle volume.</w:t>
      </w:r>
    </w:p>
    <w:p>
      <w:pPr>
        <w:spacing w:after="200"/>
      </w:pPr>
    </w:p>
    <w:p>
      <w:pPr>
        <w:pBdr>
          <w:bottom w:val="single" w:color="E5E7EB" w:sz="4" w:space="1"/>
        </w:pBdr>
        <w:spacing w:before="200" w:after="200"/>
      </w:pPr>
    </w:p>
    <w:p>
      <w:pPr>
        <w:pStyle w:val="Heading2"/>
        <w:spacing w:before="280" w:after="120"/>
      </w:pPr>
      <w:r>
        <w:rPr>
          <w:rFonts w:ascii="Arial" w:cs="Arial" w:eastAsia="Arial" w:hAnsi="Arial"/>
          <w:b/>
          <w:bCs/>
          <w:color w:val="1A56DB"/>
          <w:sz w:val="26"/>
          <w:szCs w:val="26"/>
        </w:rPr>
        <w:t xml:space="preserve">Dependencies</w:t>
      </w:r>
    </w:p>
    <w:p>
      <w:pPr>
        <w:pStyle w:val="ListParagraph"/>
        <w:numPr>
          <w:ilvl w:val="0"/>
          <w:numId w:val="2"/>
        </w:numPr>
        <w:spacing w:after="80"/>
      </w:pPr>
      <w:r>
        <w:rPr>
          <w:rFonts w:ascii="Arial" w:cs="Arial" w:eastAsia="Arial" w:hAnsi="Arial"/>
          <w:b w:val="false"/>
          <w:bCs w:val="false"/>
          <w:color w:val="111827"/>
          <w:sz w:val="22"/>
          <w:szCs w:val="22"/>
        </w:rPr>
        <w:t xml:space="preserve">3 PICs recruited and onboarded before first paid simulation</w:t>
      </w:r>
    </w:p>
    <w:p>
      <w:pPr>
        <w:pStyle w:val="ListParagraph"/>
        <w:numPr>
          <w:ilvl w:val="0"/>
          <w:numId w:val="2"/>
        </w:numPr>
        <w:spacing w:after="80"/>
      </w:pPr>
      <w:r>
        <w:rPr>
          <w:rFonts w:ascii="Arial" w:cs="Arial" w:eastAsia="Arial" w:hAnsi="Arial"/>
          <w:b w:val="false"/>
          <w:bCs w:val="false"/>
          <w:color w:val="111827"/>
          <w:sz w:val="22"/>
          <w:szCs w:val="22"/>
        </w:rPr>
        <w:t xml:space="preserve">Standardized cluster form designed and tested with real community members</w:t>
      </w:r>
    </w:p>
    <w:p>
      <w:pPr>
        <w:pStyle w:val="ListParagraph"/>
        <w:numPr>
          <w:ilvl w:val="0"/>
          <w:numId w:val="2"/>
        </w:numPr>
        <w:spacing w:after="80"/>
      </w:pPr>
      <w:r>
        <w:rPr>
          <w:rFonts w:ascii="Arial" w:cs="Arial" w:eastAsia="Arial" w:hAnsi="Arial"/>
          <w:b w:val="false"/>
          <w:bCs w:val="false"/>
          <w:color w:val="111827"/>
          <w:sz w:val="22"/>
          <w:szCs w:val="22"/>
        </w:rPr>
        <w:t xml:space="preserve">GPT-4o API key + Indonesian cluster context prompt v1 written and tested</w:t>
      </w:r>
    </w:p>
    <w:p>
      <w:pPr>
        <w:pStyle w:val="ListParagraph"/>
        <w:numPr>
          <w:ilvl w:val="0"/>
          <w:numId w:val="2"/>
        </w:numPr>
        <w:spacing w:after="80"/>
      </w:pPr>
      <w:r>
        <w:rPr>
          <w:rFonts w:ascii="Arial" w:cs="Arial" w:eastAsia="Arial" w:hAnsi="Arial"/>
          <w:b w:val="false"/>
          <w:bCs w:val="false"/>
          <w:color w:val="111827"/>
          <w:sz w:val="22"/>
          <w:szCs w:val="22"/>
        </w:rPr>
        <w:t xml:space="preserve">Supabase schema for cluster data and simulation records</w:t>
      </w:r>
    </w:p>
    <w:p>
      <w:pPr>
        <w:pStyle w:val="ListParagraph"/>
        <w:numPr>
          <w:ilvl w:val="0"/>
          <w:numId w:val="2"/>
        </w:numPr>
        <w:spacing w:after="80"/>
      </w:pPr>
      <w:r>
        <w:rPr>
          <w:rFonts w:ascii="Arial" w:cs="Arial" w:eastAsia="Arial" w:hAnsi="Arial"/>
          <w:b w:val="false"/>
          <w:bCs w:val="false"/>
          <w:color w:val="111827"/>
          <w:sz w:val="22"/>
          <w:szCs w:val="22"/>
        </w:rPr>
        <w:t xml:space="preserve">Midtrans account for IDR payment processing</w:t>
      </w:r>
    </w:p>
    <w:p>
      <w:pPr>
        <w:pStyle w:val="ListParagraph"/>
        <w:numPr>
          <w:ilvl w:val="0"/>
          <w:numId w:val="2"/>
        </w:numPr>
        <w:spacing w:after="80"/>
      </w:pPr>
      <w:r>
        <w:rPr>
          <w:rFonts w:ascii="Arial" w:cs="Arial" w:eastAsia="Arial" w:hAnsi="Arial"/>
          <w:b w:val="false"/>
          <w:bCs w:val="false"/>
          <w:color w:val="111827"/>
          <w:sz w:val="22"/>
          <w:szCs w:val="22"/>
        </w:rPr>
        <w:t xml:space="preserve">WhatsApp Business API application submitted (apply immediately — approval takes weeks)</w:t>
      </w:r>
    </w:p>
    <w:p>
      <w:pPr>
        <w:spacing w:after="200"/>
      </w:pPr>
    </w:p>
    <w:p>
      <w:pPr>
        <w:pBdr>
          <w:bottom w:val="single" w:color="E5E7EB" w:sz="4" w:space="1"/>
        </w:pBdr>
        <w:spacing w:before="200" w:after="200"/>
      </w:pPr>
    </w:p>
    <w:p>
      <w:pPr>
        <w:pStyle w:val="Heading2"/>
        <w:spacing w:before="280" w:after="120"/>
      </w:pPr>
      <w:r>
        <w:rPr>
          <w:rFonts w:ascii="Arial" w:cs="Arial" w:eastAsia="Arial" w:hAnsi="Arial"/>
          <w:b/>
          <w:bCs/>
          <w:color w:val="1A56DB"/>
          <w:sz w:val="26"/>
          <w:szCs w:val="26"/>
        </w:rPr>
        <w:t xml:space="preserve">Future Vision (Out of Scope for Current Design)</w:t>
      </w:r>
    </w:p>
    <w:p>
      <w:pPr>
        <w:pStyle w:val="ListParagraph"/>
        <w:numPr>
          <w:ilvl w:val="0"/>
          <w:numId w:val="2"/>
        </w:numPr>
        <w:spacing w:after="80"/>
      </w:pPr>
      <w:r>
        <w:rPr>
          <w:rFonts w:ascii="Arial" w:cs="Arial" w:eastAsia="Arial" w:hAnsi="Arial"/>
          <w:b w:val="false"/>
          <w:bCs w:val="false"/>
          <w:color w:val="111827"/>
          <w:sz w:val="22"/>
          <w:szCs w:val="22"/>
        </w:rPr>
        <w:t xml:space="preserve">PasarSim Cluster API — licensing cluster data to brands, agencies, and government bodies for their own analytics</w:t>
      </w:r>
    </w:p>
    <w:p>
      <w:pPr>
        <w:pStyle w:val="ListParagraph"/>
        <w:numPr>
          <w:ilvl w:val="0"/>
          <w:numId w:val="2"/>
        </w:numPr>
        <w:spacing w:after="80"/>
      </w:pPr>
      <w:r>
        <w:rPr>
          <w:rFonts w:ascii="Arial" w:cs="Arial" w:eastAsia="Arial" w:hAnsi="Arial"/>
          <w:b w:val="false"/>
          <w:bCs w:val="false"/>
          <w:color w:val="111827"/>
          <w:sz w:val="22"/>
          <w:szCs w:val="22"/>
        </w:rPr>
        <w:t xml:space="preserve">Real-time simulation at scale — seconds, not hours, as cluster dataset grows and fine-tuned model replaces GPT-4o synthesis</w:t>
      </w:r>
    </w:p>
    <w:p>
      <w:pPr>
        <w:pStyle w:val="ListParagraph"/>
        <w:numPr>
          <w:ilvl w:val="0"/>
          <w:numId w:val="2"/>
        </w:numPr>
        <w:spacing w:after="80"/>
      </w:pPr>
      <w:r>
        <w:rPr>
          <w:rFonts w:ascii="Arial" w:cs="Arial" w:eastAsia="Arial" w:hAnsi="Arial"/>
          <w:b w:val="false"/>
          <w:bCs w:val="false"/>
          <w:color w:val="111827"/>
          <w:sz w:val="22"/>
          <w:szCs w:val="22"/>
        </w:rPr>
        <w:t xml:space="preserve">Expansion to other business categories: retail, health &amp; wellness, education, property</w:t>
      </w:r>
    </w:p>
    <w:p>
      <w:pPr>
        <w:pStyle w:val="ListParagraph"/>
        <w:numPr>
          <w:ilvl w:val="0"/>
          <w:numId w:val="2"/>
        </w:numPr>
        <w:spacing w:after="80"/>
      </w:pPr>
      <w:r>
        <w:rPr>
          <w:rFonts w:ascii="Arial" w:cs="Arial" w:eastAsia="Arial" w:hAnsi="Arial"/>
          <w:b w:val="false"/>
          <w:bCs w:val="false"/>
          <w:color w:val="111827"/>
          <w:sz w:val="22"/>
          <w:szCs w:val="22"/>
        </w:rPr>
        <w:t xml:space="preserve">Southeast Asia expansion: Malaysia, Philippines, Vietnam — same community cluster model, new geographies</w:t>
      </w:r>
    </w:p>
    <w:p>
      <w:pPr>
        <w:pStyle w:val="ListParagraph"/>
        <w:numPr>
          <w:ilvl w:val="0"/>
          <w:numId w:val="2"/>
        </w:numPr>
        <w:spacing w:after="80"/>
      </w:pPr>
      <w:r>
        <w:rPr>
          <w:rFonts w:ascii="Arial" w:cs="Arial" w:eastAsia="Arial" w:hAnsi="Arial"/>
          <w:b w:val="false"/>
          <w:bCs w:val="false"/>
          <w:color w:val="111827"/>
          <w:sz w:val="22"/>
          <w:szCs w:val="22"/>
        </w:rPr>
        <w:t xml:space="preserve">Government and policy simulation: local government testing infrastructure decisions against community cluster data</w:t>
      </w:r>
    </w:p>
    <w:p>
      <w:pPr>
        <w:spacing w:after="120"/>
      </w:pPr>
      <w:r>
        <w:rPr>
          <w:rFonts w:ascii="Arial" w:cs="Arial" w:eastAsia="Arial" w:hAnsi="Arial"/>
          <w:i/>
          <w:iCs/>
          <w:color w:val="6B7280"/>
          <w:sz w:val="22"/>
          <w:szCs w:val="22"/>
        </w:rPr>
        <w:t xml:space="preserve">These are directionally valid but carry no engineering requirements in the current design.</w:t>
      </w:r>
    </w:p>
    <w:p>
      <w:pPr>
        <w:spacing w:after="200"/>
      </w:pPr>
    </w:p>
    <w:p>
      <w:pPr>
        <w:pBdr>
          <w:bottom w:val="single" w:color="E5E7EB" w:sz="4" w:space="1"/>
        </w:pBdr>
        <w:spacing w:before="200" w:after="200"/>
      </w:pPr>
    </w:p>
    <w:p>
      <w:pPr>
        <w:pStyle w:val="Heading2"/>
        <w:spacing w:before="280" w:after="120"/>
      </w:pPr>
      <w:r>
        <w:rPr>
          <w:rFonts w:ascii="Arial" w:cs="Arial" w:eastAsia="Arial" w:hAnsi="Arial"/>
          <w:b/>
          <w:bCs/>
          <w:color w:val="1A56DB"/>
          <w:sz w:val="26"/>
          <w:szCs w:val="26"/>
        </w:rPr>
        <w:t xml:space="preserve">Reviewer Concerns</w:t>
      </w:r>
    </w:p>
    <w:p>
      <w:pPr>
        <w:spacing w:after="120"/>
      </w:pPr>
      <w:r>
        <w:rPr>
          <w:rFonts w:ascii="Arial" w:cs="Arial" w:eastAsia="Arial" w:hAnsi="Arial"/>
          <w:color w:val="111827"/>
          <w:sz w:val="22"/>
          <w:szCs w:val="22"/>
        </w:rPr>
        <w:t xml:space="preserve">These issues were raised in adversarial review and remain unresolved. They must be addressed before engineering begins.</w:t>
      </w:r>
    </w:p>
    <w:p>
      <w:pPr>
        <w:spacing w:after="80"/>
      </w:pPr>
    </w:p>
    <w:p>
      <w:pPr>
        <w:pStyle w:val="ListParagraph"/>
        <w:numPr>
          <w:ilvl w:val="0"/>
          <w:numId w:val="3"/>
        </w:numPr>
        <w:spacing w:after="80"/>
      </w:pPr>
      <w:r>
        <w:rPr>
          <w:rFonts w:ascii="Arial" w:cs="Arial" w:eastAsia="Arial" w:hAnsi="Arial"/>
          <w:color w:val="111827"/>
          <w:sz w:val="22"/>
          <w:szCs w:val="22"/>
        </w:rPr>
        <w:t xml:space="preserve">Auth model undefined. 'Business owner logs in' implies account creation, session management, and simulation-to-account linking. No design exists yet.</w:t>
      </w:r>
    </w:p>
    <w:p>
      <w:pPr>
        <w:pStyle w:val="ListParagraph"/>
        <w:numPr>
          <w:ilvl w:val="0"/>
          <w:numId w:val="3"/>
        </w:numPr>
        <w:spacing w:after="80"/>
      </w:pPr>
      <w:r>
        <w:rPr>
          <w:rFonts w:ascii="Arial" w:cs="Arial" w:eastAsia="Arial" w:hAnsi="Arial"/>
          <w:color w:val="111827"/>
          <w:sz w:val="22"/>
          <w:szCs w:val="22"/>
        </w:rPr>
        <w:t xml:space="preserve">Cluster proposal intake undefined. What is the exact submission form for self-initialized clusters? What SLA does PasarSim commit to for approval decisions?</w:t>
      </w:r>
    </w:p>
    <w:p>
      <w:pPr>
        <w:pStyle w:val="ListParagraph"/>
        <w:numPr>
          <w:ilvl w:val="0"/>
          <w:numId w:val="3"/>
        </w:numPr>
        <w:spacing w:after="80"/>
      </w:pPr>
      <w:r>
        <w:rPr>
          <w:rFonts w:ascii="Arial" w:cs="Arial" w:eastAsia="Arial" w:hAnsi="Arial"/>
          <w:color w:val="111827"/>
          <w:sz w:val="22"/>
          <w:szCs w:val="22"/>
        </w:rPr>
        <w:t xml:space="preserve">Payment and quota enforcement undefined. How does the system enforce simulation limits per tier? What happens at month-end rollover?</w:t>
      </w:r>
    </w:p>
    <w:p>
      <w:pPr>
        <w:pStyle w:val="ListParagraph"/>
        <w:numPr>
          <w:ilvl w:val="0"/>
          <w:numId w:val="3"/>
        </w:numPr>
        <w:spacing w:after="80"/>
      </w:pPr>
      <w:r>
        <w:rPr>
          <w:rFonts w:ascii="Arial" w:cs="Arial" w:eastAsia="Arial" w:hAnsi="Arial"/>
          <w:color w:val="111827"/>
          <w:sz w:val="22"/>
          <w:szCs w:val="22"/>
        </w:rPr>
        <w:t xml:space="preserve">PIC recruitment strategy undefined. The quality of clusters depends entirely on PIC quality. Who recruits them, and how do we ensure they represent the cluster community accurately?</w:t>
      </w:r>
    </w:p>
    <w:p>
      <w:pPr>
        <w:pStyle w:val="ListParagraph"/>
        <w:numPr>
          <w:ilvl w:val="0"/>
          <w:numId w:val="3"/>
        </w:numPr>
        <w:spacing w:after="80"/>
      </w:pPr>
      <w:r>
        <w:rPr>
          <w:rFonts w:ascii="Arial" w:cs="Arial" w:eastAsia="Arial" w:hAnsi="Arial"/>
          <w:color w:val="111827"/>
          <w:sz w:val="22"/>
          <w:szCs w:val="22"/>
        </w:rPr>
        <w:t xml:space="preserve">Simulation output schema not finalized. Sentiment, WTP, competitor gap, foot traffic signals, backfire warnings — which fields are mandatory? What does the AI return when cluster data is insufficient for a given metric?</w:t>
      </w:r>
    </w:p>
    <w:p>
      <w:pPr>
        <w:pStyle w:val="ListParagraph"/>
        <w:numPr>
          <w:ilvl w:val="0"/>
          <w:numId w:val="3"/>
        </w:numPr>
        <w:spacing w:after="80"/>
      </w:pPr>
      <w:r>
        <w:rPr>
          <w:rFonts w:ascii="Arial" w:cs="Arial" w:eastAsia="Arial" w:hAnsi="Arial"/>
          <w:color w:val="111827"/>
          <w:sz w:val="22"/>
          <w:szCs w:val="22"/>
        </w:rPr>
        <w:t xml:space="preserve">Validation failure handling undefined. What happens to a cluster that fails QA? Is the proposer given one remediation attempt? How is feedback communicated?</w:t>
      </w:r>
    </w:p>
    <w:p>
      <w:pPr>
        <w:pStyle w:val="ListParagraph"/>
        <w:numPr>
          <w:ilvl w:val="0"/>
          <w:numId w:val="3"/>
        </w:numPr>
        <w:spacing w:after="80"/>
      </w:pPr>
      <w:r>
        <w:rPr>
          <w:rFonts w:ascii="Arial" w:cs="Arial" w:eastAsia="Arial" w:hAnsi="Arial"/>
          <w:color w:val="111827"/>
          <w:sz w:val="22"/>
          <w:szCs w:val="22"/>
        </w:rPr>
        <w:t xml:space="preserve">Credit pack SLA not specified. Pay-as-you-go credit users — do they receive Explorer or Builder turnaround SLA?</w:t>
      </w:r>
    </w:p>
    <w:p>
      <w:pPr>
        <w:spacing w:after="200"/>
      </w:pPr>
    </w:p>
    <w:p>
      <w:pPr>
        <w:pBdr>
          <w:bottom w:val="single" w:color="E5E7EB" w:sz="4" w:space="1"/>
        </w:pBdr>
        <w:spacing w:before="200" w:after="200"/>
      </w:pPr>
    </w:p>
    <w:p>
      <w:pPr>
        <w:pStyle w:val="Heading2"/>
        <w:spacing w:before="280" w:after="120"/>
      </w:pPr>
      <w:r>
        <w:rPr>
          <w:rFonts w:ascii="Arial" w:cs="Arial" w:eastAsia="Arial" w:hAnsi="Arial"/>
          <w:b/>
          <w:bCs/>
          <w:color w:val="1A56DB"/>
          <w:sz w:val="26"/>
          <w:szCs w:val="26"/>
        </w:rPr>
        <w:t xml:space="preserve">What We Notice About How You Think</w:t>
      </w:r>
    </w:p>
    <w:p>
      <w:pPr>
        <w:spacing w:after="120"/>
      </w:pPr>
      <w:r>
        <w:rPr>
          <w:rFonts w:ascii="Arial" w:cs="Arial" w:eastAsia="Arial" w:hAnsi="Arial"/>
          <w:color w:val="111827"/>
          <w:sz w:val="22"/>
          <w:szCs w:val="22"/>
        </w:rPr>
        <w:t xml:space="preserve">You identified a gap that most founders miss: the UMKM sector stores 60%+ of Indonesia's GDP but is treated as an afterthought by enterprise market research and by generic AI tools trained on Western behavior. That is a real asymmetry, and you named it cleanly.</w:t>
      </w:r>
    </w:p>
    <w:p>
      <w:pPr>
        <w:spacing w:after="80"/>
      </w:pPr>
    </w:p>
    <w:p>
      <w:pPr>
        <w:spacing w:after="120"/>
      </w:pPr>
      <w:r>
        <w:rPr>
          <w:rFonts w:ascii="Arial" w:cs="Arial" w:eastAsia="Arial" w:hAnsi="Arial"/>
          <w:color w:val="111827"/>
          <w:sz w:val="22"/>
          <w:szCs w:val="22"/>
        </w:rPr>
        <w:t xml:space="preserve">The cluster model is the right instinct. The reason PasarSim has a moat is not the AI — it is the proprietary local dataset that grows with every cluster validated. Most teams build the simulation UI first and then realize they have nothing to simulate against. You are building the data layer first. That is the correct order.</w:t>
      </w:r>
    </w:p>
    <w:p>
      <w:pPr>
        <w:spacing w:after="80"/>
      </w:pPr>
    </w:p>
    <w:p>
      <w:pPr>
        <w:spacing w:after="120"/>
      </w:pPr>
      <w:r>
        <w:rPr>
          <w:rFonts w:ascii="Arial" w:cs="Arial" w:eastAsia="Arial" w:hAnsi="Arial"/>
          <w:color w:val="111827"/>
          <w:sz w:val="22"/>
          <w:szCs w:val="22"/>
        </w:rPr>
        <w:t xml:space="preserve">The two-model approach (PIC-led vs. self-initialized) is smart because it lets you start with control (PIC) and scale with community (self-init). Do not flip this order. Start with PICs you personally know and trust. The proposal model requires quality enforcement infrastructure you do not have yet.</w:t>
      </w:r>
    </w:p>
    <w:p>
      <w:pPr>
        <w:spacing w:after="80"/>
      </w:pPr>
    </w:p>
    <w:p>
      <w:pPr>
        <w:spacing w:after="120"/>
      </w:pPr>
      <w:r>
        <w:rPr>
          <w:rFonts w:ascii="Arial" w:cs="Arial" w:eastAsia="Arial" w:hAnsi="Arial"/>
          <w:color w:val="111827"/>
          <w:sz w:val="22"/>
          <w:szCs w:val="22"/>
        </w:rPr>
        <w:t xml:space="preserve">The biggest open risk is not the technology — it is the cold-start problem on the cluster side. The simulation is only as good as the first 3 clusters. Those first 3 must be excellent. Choose the locations and PICs before you write any code.</w:t>
      </w:r>
    </w:p>
    <w:p>
      <w:pPr>
        <w:spacing w:after="200"/>
      </w:pPr>
    </w:p>
    <w:p>
      <w:pPr>
        <w:pBdr>
          <w:bottom w:val="single" w:color="E5E7EB" w:sz="4" w:space="1"/>
        </w:pBdr>
        <w:spacing w:before="200" w:after="200"/>
      </w:pPr>
    </w:p>
    <w:p>
      <w:pPr>
        <w:pStyle w:val="Heading2"/>
        <w:spacing w:before="280" w:after="120"/>
      </w:pPr>
      <w:r>
        <w:rPr>
          <w:rFonts w:ascii="Arial" w:cs="Arial" w:eastAsia="Arial" w:hAnsi="Arial"/>
          <w:b/>
          <w:bCs/>
          <w:color w:val="1A56DB"/>
          <w:sz w:val="26"/>
          <w:szCs w:val="26"/>
        </w:rPr>
        <w:t xml:space="preserve">Appendix A: The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6D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BEFORE CODE</w:t>
            </w:r>
          </w:p>
        </w:tc>
        <w:tc>
          <w:tcPr>
            <w:tcW w:type="dxa" w:w="8160"/>
            <w:tcBorders>
              <w:top w:val="none" w:color="FFFFFF" w:sz="0"/>
              <w:left w:val="none" w:color="FFFFFF" w:sz="0"/>
              <w:bottom w:val="none" w:color="FFFFFF" w:sz="0"/>
              <w:right w:val="none" w:color="FFFFFF" w:sz="0"/>
            </w:tcBorders>
            <w:shd w:fill="E5EDFF" w:val="clear"/>
            <w:tcMar>
              <w:top w:type="dxa" w:w="120"/>
              <w:left w:type="dxa" w:w="200"/>
              <w:bottom w:type="dxa" w:w="120"/>
              <w:right w:type="dxa" w:w="160"/>
            </w:tcMar>
          </w:tcPr>
          <w:p>
            <w:r>
              <w:rPr>
                <w:rFonts w:ascii="Arial" w:cs="Arial" w:eastAsia="Arial" w:hAnsi="Arial"/>
                <w:i/>
                <w:iCs/>
                <w:color w:val="111827"/>
                <w:sz w:val="22"/>
                <w:szCs w:val="22"/>
              </w:rPr>
              <w:t xml:space="preserve">Talk to 10 UMKM business owners in Jabodetabek this week. Find owners who have recently opened, or are planning to open, a new location. Ask them: 'When you decided where to open, what did you wish you had known before signing the lease?' That answer is your product roadmap.</w:t>
            </w:r>
          </w:p>
        </w:tc>
      </w:tr>
    </w:tbl>
    <w:p>
      <w:pPr>
        <w:spacing w:after="100"/>
      </w:pPr>
    </w:p>
    <w:p>
      <w:pPr>
        <w:spacing w:after="120"/>
      </w:pPr>
      <w:r>
        <w:rPr>
          <w:rFonts w:ascii="Arial" w:cs="Arial" w:eastAsia="Arial" w:hAnsi="Arial"/>
          <w:color w:val="111827"/>
          <w:sz w:val="22"/>
          <w:szCs w:val="22"/>
        </w:rPr>
        <w:t xml:space="preserve">Specifically: get a name, a location, a concept, and the decision they made. Then ask: would they have paid Rp 75,000 for a data-backed simulation that gave them 80% confidence before that decision? If yes from at least 6 of 10 — you have willingness to pay. If no — you have the next version of the problem statement.</w:t>
      </w:r>
    </w:p>
    <w:p>
      <w:pPr>
        <w:spacing w:after="80"/>
      </w:pPr>
    </w:p>
    <w:p>
      <w:pPr>
        <w:spacing w:after="120"/>
      </w:pPr>
      <w:r>
        <w:rPr>
          <w:rFonts w:ascii="Arial" w:cs="Arial" w:eastAsia="Arial" w:hAnsi="Arial"/>
          <w:color w:val="111827"/>
          <w:sz w:val="22"/>
          <w:szCs w:val="22"/>
        </w:rPr>
        <w:t xml:space="preserve">Do not skip this step. A simulation platform with no validated customer pain is just a demo.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11827"/>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56DB"/>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2026-03-30T08:24:26.444Z</dcterms:created>
  <dcterms:modified xsi:type="dcterms:W3CDTF">2026-03-30T08:24:26.445Z</dcterms:modified>
</cp:coreProperties>
</file>

<file path=docProps/custom.xml><?xml version="1.0" encoding="utf-8"?>
<Properties xmlns="http://schemas.openxmlformats.org/officeDocument/2006/custom-properties" xmlns:vt="http://schemas.openxmlformats.org/officeDocument/2006/docPropsVTypes"/>
</file>