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3.png" ContentType="image/png"/>
  <Override PartName="/word/media/rId4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тчёт-по-лабораторной-работе-2"/>
      <w:r>
        <w:rPr>
          <w:b/>
        </w:rPr>
        <w:t xml:space="preserve">Отчёт по лабораторной работе №2</w:t>
      </w:r>
      <w:bookmarkEnd w:id="20"/>
    </w:p>
    <w:p>
      <w:pPr>
        <w:pStyle w:val="FirstParagraph"/>
      </w:pPr>
      <w:r>
        <w:t xml:space="preserve">discipline: Основы информационной безопасности</w:t>
      </w:r>
      <w:r>
        <w:t xml:space="preserve"> </w:t>
      </w:r>
      <w:r>
        <w:t xml:space="preserve">group: НПМбд-02-21</w:t>
      </w:r>
      <w:r>
        <w:t xml:space="preserve"> </w:t>
      </w:r>
      <w:r>
        <w:t xml:space="preserve">author: Газизова Регина Ильгамовна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ront-matter"/>
      <w:r>
        <w:t xml:space="preserve">Front matter</w:t>
      </w:r>
      <w:bookmarkEnd w:id="21"/>
    </w:p>
    <w:p>
      <w:pPr>
        <w:pStyle w:val="FirstParagraph"/>
      </w:pPr>
      <w:r>
        <w:t xml:space="preserve">title: "Отчет по лабораторной работе №3"</w:t>
      </w:r>
      <w:r>
        <w:t xml:space="preserve"> </w:t>
      </w:r>
      <w:r>
        <w:t xml:space="preserve">subtitle: "Основы информационной безопасности"</w:t>
      </w:r>
      <w:r>
        <w:t xml:space="preserve"> </w:t>
      </w:r>
      <w:r>
        <w:t xml:space="preserve">author: "Газизова Регина"</w:t>
      </w:r>
    </w:p>
    <w:p>
      <w:pPr>
        <w:pStyle w:val="Heading2"/>
      </w:pPr>
      <w:bookmarkStart w:id="22" w:name="generic-otions"/>
      <w:r>
        <w:t xml:space="preserve">Generic otions</w:t>
      </w:r>
      <w:bookmarkEnd w:id="22"/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 "Содержание"</w:t>
      </w:r>
    </w:p>
    <w:p>
      <w:pPr>
        <w:pStyle w:val="Heading2"/>
      </w:pPr>
      <w:bookmarkStart w:id="23" w:name="bibliography"/>
      <w:r>
        <w:t xml:space="preserve">Bibliography</w:t>
      </w:r>
      <w:bookmarkEnd w:id="23"/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p>
      <w:pPr>
        <w:pStyle w:val="Heading2"/>
      </w:pPr>
      <w:bookmarkStart w:id="24" w:name="pdf-output-format"/>
      <w:r>
        <w:t xml:space="preserve">Pdf output format</w:t>
      </w:r>
      <w:bookmarkEnd w:id="24"/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</w:p>
    <w:p>
      <w:pPr>
        <w:pStyle w:val="Heading2"/>
      </w:pPr>
      <w:bookmarkStart w:id="25" w:name="i18n-polyglossia"/>
      <w:r>
        <w:t xml:space="preserve">I18n polyglossia</w:t>
      </w:r>
      <w:bookmarkEnd w:id="25"/>
    </w:p>
    <w:p>
      <w:pPr>
        <w:pStyle w:val="FirstParagraph"/>
      </w:pP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</w:p>
    <w:p>
      <w:pPr>
        <w:pStyle w:val="Compact"/>
        <w:numPr>
          <w:numId w:val="1001"/>
          <w:ilvl w:val="0"/>
        </w:numPr>
      </w:pPr>
      <w:r>
        <w:t xml:space="preserve">spelling=modern</w:t>
      </w:r>
    </w:p>
    <w:p>
      <w:pPr>
        <w:pStyle w:val="Compact"/>
        <w:numPr>
          <w:numId w:val="1001"/>
          <w:ilvl w:val="0"/>
        </w:numPr>
      </w:pPr>
      <w:r>
        <w:t xml:space="preserve">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</w:p>
    <w:p>
      <w:pPr>
        <w:pStyle w:val="Heading2"/>
      </w:pPr>
      <w:bookmarkStart w:id="26" w:name="i18n-babel"/>
      <w:r>
        <w:t xml:space="preserve">I18n babel</w:t>
      </w:r>
      <w:bookmarkEnd w:id="26"/>
    </w:p>
    <w:p>
      <w:pPr>
        <w:pStyle w:val="FirstParagraph"/>
      </w:pPr>
      <w:r>
        <w:t xml:space="preserve">babel-lang: russian</w:t>
      </w:r>
      <w:r>
        <w:t xml:space="preserve"> </w:t>
      </w:r>
      <w:r>
        <w:t xml:space="preserve">babel-otherlangs: english</w:t>
      </w:r>
    </w:p>
    <w:p>
      <w:pPr>
        <w:pStyle w:val="Heading2"/>
      </w:pPr>
      <w:bookmarkStart w:id="27" w:name="fonts"/>
      <w:r>
        <w:t xml:space="preserve">Fonts</w:t>
      </w:r>
      <w:bookmarkEnd w:id="27"/>
    </w:p>
    <w:p>
      <w:pPr>
        <w:pStyle w:val="FirstParagraph"/>
      </w:pP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</w:p>
    <w:p>
      <w:pPr>
        <w:pStyle w:val="Heading2"/>
      </w:pPr>
      <w:bookmarkStart w:id="28" w:name="biblatex"/>
      <w:r>
        <w:t xml:space="preserve">Biblatex</w:t>
      </w:r>
      <w:bookmarkEnd w:id="28"/>
    </w:p>
    <w:p>
      <w:pPr>
        <w:pStyle w:val="FirstParagraph"/>
      </w:pPr>
      <w:r>
        <w:t xml:space="preserve">biblatex: true</w:t>
      </w:r>
      <w:r>
        <w:t xml:space="preserve"> </w:t>
      </w:r>
      <w:r>
        <w:t xml:space="preserve">biblio-style: "gost-numeric"</w:t>
      </w:r>
      <w:r>
        <w:t xml:space="preserve"> </w:t>
      </w:r>
      <w:r>
        <w:t xml:space="preserve">biblatexoptions:</w:t>
      </w:r>
    </w:p>
    <w:p>
      <w:pPr>
        <w:pStyle w:val="Compact"/>
        <w:numPr>
          <w:numId w:val="1002"/>
          <w:ilvl w:val="0"/>
        </w:numPr>
      </w:pPr>
      <w:r>
        <w:t xml:space="preserve">parentracker=true</w:t>
      </w:r>
    </w:p>
    <w:p>
      <w:pPr>
        <w:pStyle w:val="Compact"/>
        <w:numPr>
          <w:numId w:val="1002"/>
          <w:ilvl w:val="0"/>
        </w:numPr>
      </w:pPr>
      <w:r>
        <w:t xml:space="preserve">backend=biber</w:t>
      </w:r>
    </w:p>
    <w:p>
      <w:pPr>
        <w:pStyle w:val="Compact"/>
        <w:numPr>
          <w:numId w:val="1002"/>
          <w:ilvl w:val="0"/>
        </w:numPr>
      </w:pPr>
      <w:r>
        <w:t xml:space="preserve">hyperref=auto</w:t>
      </w:r>
    </w:p>
    <w:p>
      <w:pPr>
        <w:pStyle w:val="Compact"/>
        <w:numPr>
          <w:numId w:val="1002"/>
          <w:ilvl w:val="0"/>
        </w:numPr>
      </w:pPr>
      <w:r>
        <w:t xml:space="preserve">language=auto</w:t>
      </w:r>
    </w:p>
    <w:p>
      <w:pPr>
        <w:pStyle w:val="Compact"/>
        <w:numPr>
          <w:numId w:val="1002"/>
          <w:ilvl w:val="0"/>
        </w:numPr>
      </w:pPr>
      <w:r>
        <w:t xml:space="preserve">autolang=other*</w:t>
      </w:r>
    </w:p>
    <w:p>
      <w:pPr>
        <w:pStyle w:val="Compact"/>
        <w:numPr>
          <w:numId w:val="1002"/>
          <w:ilvl w:val="0"/>
        </w:numPr>
      </w:pPr>
      <w:r>
        <w:t xml:space="preserve">citestyle=gost-numeric</w:t>
      </w:r>
    </w:p>
    <w:p>
      <w:pPr>
        <w:pStyle w:val="Heading2"/>
      </w:pPr>
      <w:bookmarkStart w:id="29" w:name="pandoc-crossref-latex-customization"/>
      <w:r>
        <w:t xml:space="preserve">Pandoc-crossref LaTeX customization</w:t>
      </w:r>
      <w:bookmarkEnd w:id="29"/>
    </w:p>
    <w:p>
      <w:pPr>
        <w:pStyle w:val="FirstParagraph"/>
      </w:pPr>
      <w:r>
        <w:t xml:space="preserve">figureTitle: "Рис."</w:t>
      </w:r>
      <w:r>
        <w:t xml:space="preserve"> </w:t>
      </w:r>
      <w:r>
        <w:t xml:space="preserve">tableTitle: "Таблица"</w:t>
      </w:r>
      <w:r>
        <w:t xml:space="preserve"> </w:t>
      </w:r>
      <w:r>
        <w:t xml:space="preserve">listingTitle: "Листинг"</w:t>
      </w:r>
      <w:r>
        <w:t xml:space="preserve"> </w:t>
      </w:r>
      <w:r>
        <w:t xml:space="preserve">lofTitle: "Список иллюстраций"</w:t>
      </w:r>
      <w:r>
        <w:t xml:space="preserve"> </w:t>
      </w:r>
      <w:r>
        <w:t xml:space="preserve">lolTitle: "Листинги"</w:t>
      </w:r>
    </w:p>
    <w:p>
      <w:pPr>
        <w:pStyle w:val="Heading2"/>
      </w:pPr>
      <w:bookmarkStart w:id="30" w:name="misc-options"/>
      <w:r>
        <w:t xml:space="preserve">Misc options</w:t>
      </w:r>
      <w:bookmarkEnd w:id="30"/>
    </w:p>
    <w:p>
      <w:pPr>
        <w:pStyle w:val="FirstParagraph"/>
      </w:pPr>
      <w:r>
        <w:t xml:space="preserve">indent: true</w:t>
      </w:r>
      <w:r>
        <w:t xml:space="preserve"> </w:t>
      </w:r>
      <w:r>
        <w:t xml:space="preserve">header-includes:</w:t>
      </w:r>
    </w:p>
    <w:p>
      <w:pPr>
        <w:pStyle w:val="Compact"/>
        <w:numPr>
          <w:numId w:val="1003"/>
          <w:ilvl w:val="0"/>
        </w:numPr>
      </w:pPr>
      <w:r>
        <w:t xml:space="preserve">\usepackage{indentfirst}</w:t>
      </w:r>
    </w:p>
    <w:p>
      <w:pPr>
        <w:pStyle w:val="Compact"/>
        <w:numPr>
          <w:numId w:val="1003"/>
          <w:ilvl w:val="0"/>
        </w:numPr>
      </w:pPr>
      <w:r>
        <w:t xml:space="preserve">\usepackage{float} # keep figures where there are in the text</w:t>
      </w:r>
    </w:p>
    <w:p>
      <w:pPr>
        <w:pStyle w:val="Compact"/>
        <w:numPr>
          <w:numId w:val="1003"/>
          <w:ilvl w:val="0"/>
        </w:numPr>
      </w:pPr>
      <w:r>
        <w:t xml:space="preserve">\floatplacement{figure}{H} # keep figures where there are in the text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цель-работы"/>
      <w:r>
        <w:t xml:space="preserve">Цель работы</w:t>
      </w:r>
      <w:bookmarkEnd w:id="31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p>
      <w:pPr>
        <w:pStyle w:val="Heading2"/>
      </w:pPr>
      <w:bookmarkStart w:id="32" w:name="теоретическое-введение"/>
      <w:r>
        <w:t xml:space="preserve">Теоретическое введение</w:t>
      </w:r>
      <w:bookmarkEnd w:id="32"/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>
      <w:pPr>
        <w:pStyle w:val="BodyText"/>
      </w:pPr>
      <w:r>
        <w:t xml:space="preserve">Изначально каждый файл имел три параметра доступа. Вот они:</w:t>
      </w:r>
    </w:p>
    <w:p>
      <w:pPr>
        <w:pStyle w:val="Compact"/>
        <w:numPr>
          <w:numId w:val="1004"/>
          <w:ilvl w:val="0"/>
        </w:numPr>
      </w:pPr>
      <w:r>
        <w:t xml:space="preserve">Чтение (r)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>
      <w:pPr>
        <w:pStyle w:val="Compact"/>
        <w:numPr>
          <w:numId w:val="1004"/>
          <w:ilvl w:val="0"/>
        </w:numPr>
      </w:pPr>
      <w:r>
        <w:t xml:space="preserve">Запись (w) -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pStyle w:val="Compact"/>
        <w:numPr>
          <w:numId w:val="1004"/>
          <w:ilvl w:val="0"/>
        </w:numPr>
      </w:pPr>
      <w:r>
        <w:t xml:space="preserve">Выполнение (x)-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Compact"/>
        <w:numPr>
          <w:numId w:val="1005"/>
          <w:ilvl w:val="0"/>
        </w:numPr>
      </w:pPr>
      <w: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>
      <w:pPr>
        <w:pStyle w:val="Compact"/>
        <w:numPr>
          <w:numId w:val="1005"/>
          <w:ilvl w:val="0"/>
        </w:numPr>
      </w:pP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>
      <w:pPr>
        <w:pStyle w:val="Compact"/>
        <w:numPr>
          <w:numId w:val="1005"/>
          <w:ilvl w:val="0"/>
        </w:numPr>
      </w:pPr>
      <w:r>
        <w:t xml:space="preserve">Остальные - все пользователи, кроме владельца и пользователей, входящих в группу файла.</w:t>
      </w:r>
    </w:p>
    <w:p>
      <w:pPr>
        <w:pStyle w:val="Heading2"/>
      </w:pPr>
      <w:bookmarkStart w:id="33" w:name="выполнение-лабораторной-работы"/>
      <w:r>
        <w:t xml:space="preserve">Выполнение лабораторной работы</w:t>
      </w:r>
      <w:bookmarkEnd w:id="33"/>
    </w:p>
    <w:p>
      <w:pPr>
        <w:pStyle w:val="Compact"/>
        <w:numPr>
          <w:numId w:val="1006"/>
          <w:ilvl w:val="0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создаем учётную запись и пароль пользователя guest (рис.1)</w:t>
      </w:r>
    </w:p>
    <w:p>
      <w:pPr>
        <w:pStyle w:val="FirstParagraph"/>
      </w:pPr>
      <w:r>
        <w:drawing>
          <wp:inline>
            <wp:extent cx="5334000" cy="3673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(рис.1)</w:t>
      </w:r>
    </w:p>
    <w:p>
      <w:pPr>
        <w:pStyle w:val="Compact"/>
        <w:numPr>
          <w:numId w:val="1007"/>
          <w:ilvl w:val="0"/>
        </w:numPr>
      </w:pPr>
      <w:r>
        <w:t xml:space="preserve">Входим в систему от имени пользователя guest (рис.2)</w:t>
      </w:r>
    </w:p>
    <w:p>
      <w:pPr>
        <w:pStyle w:val="FirstParagraph"/>
      </w:pPr>
      <w:r>
        <w:drawing>
          <wp:inline>
            <wp:extent cx="5334000" cy="6218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(рис.2)</w:t>
      </w:r>
    </w:p>
    <w:p>
      <w:pPr>
        <w:pStyle w:val="Compact"/>
        <w:numPr>
          <w:numId w:val="1008"/>
          <w:ilvl w:val="0"/>
        </w:numPr>
      </w:pPr>
      <w:r>
        <w:t xml:space="preserve">Командой pwd определяем директорию, в которой находимся. Она совпадает с домашней директорией.Уточняем имя пользователя командой whoami. Уточняем имя пользователя, его группу, а также группы, куда входит пользователь, командой id (все также guest). Сравниваем вывод id с выводом команды groups и делаем вывод, что команда id гораздо информативнее (рис.3)</w:t>
      </w:r>
    </w:p>
    <w:p>
      <w:pPr>
        <w:pStyle w:val="FirstParagraph"/>
      </w:pPr>
      <w:r>
        <w:drawing>
          <wp:inline>
            <wp:extent cx="5334000" cy="36100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(рис.3)</w:t>
      </w:r>
    </w:p>
    <w:p>
      <w:pPr>
        <w:pStyle w:val="Compact"/>
        <w:numPr>
          <w:numId w:val="1009"/>
          <w:ilvl w:val="0"/>
        </w:numPr>
      </w:pPr>
      <w:r>
        <w:t xml:space="preserve">Сморим файл /etc/passwd командой cat /etc/passwd (рис.4) Находим в нём свою учётную запись и определяем uid(1001) и git(1001) пользователя, они сопадают со значения полученными в предыдущих пунктах (рис.5)</w:t>
      </w:r>
    </w:p>
    <w:p>
      <w:pPr>
        <w:pStyle w:val="FirstParagraph"/>
      </w:pPr>
      <w:r>
        <w:drawing>
          <wp:inline>
            <wp:extent cx="5334000" cy="3953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(рис.4)</w:t>
      </w:r>
    </w:p>
    <w:p>
      <w:pPr>
        <w:pStyle w:val="BodyText"/>
      </w:pPr>
      <w:r>
        <w:drawing>
          <wp:inline>
            <wp:extent cx="5334000" cy="5015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(рис.5)</w:t>
      </w:r>
    </w:p>
    <w:p>
      <w:pPr>
        <w:pStyle w:val="Compact"/>
        <w:numPr>
          <w:numId w:val="1010"/>
          <w:ilvl w:val="0"/>
        </w:numPr>
      </w:pPr>
      <w:r>
        <w:t xml:space="preserve">Определяем существующие в системе директории командой</w:t>
      </w:r>
      <w:r>
        <w:t xml:space="preserve"> </w:t>
      </w:r>
      <w:r>
        <w:t xml:space="preserve">ls -l /home/ (рис.6). Проблем с этим не возникло. Увидели, что на директориях установлены права чтения, записи и выполнения для самого пользователя.</w:t>
      </w:r>
    </w:p>
    <w:p>
      <w:pPr>
        <w:pStyle w:val="FirstParagraph"/>
      </w:pPr>
      <w:r>
        <w:drawing>
          <wp:inline>
            <wp:extent cx="5334000" cy="5919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(рис.6)</w:t>
      </w:r>
    </w:p>
    <w:p>
      <w:pPr>
        <w:pStyle w:val="Compact"/>
        <w:numPr>
          <w:numId w:val="1011"/>
          <w:ilvl w:val="0"/>
        </w:numPr>
      </w:pPr>
      <w:r>
        <w:t xml:space="preserve">Попытались проверить, какие расширенные атрибуты установлены на поддиректориях, находящихся в директории /home, командой lsattr /home (рис.7) Для пользователя guest удалось проверить, а для поддиректории админа в доступе отказано.</w:t>
      </w:r>
    </w:p>
    <w:p>
      <w:pPr>
        <w:pStyle w:val="FirstParagraph"/>
      </w:pPr>
      <w:r>
        <w:drawing>
          <wp:inline>
            <wp:extent cx="5334000" cy="5627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(рис.7)</w:t>
      </w:r>
    </w:p>
    <w:p>
      <w:pPr>
        <w:pStyle w:val="Compact"/>
        <w:numPr>
          <w:numId w:val="1012"/>
          <w:ilvl w:val="0"/>
        </w:numPr>
      </w:pPr>
      <w:r>
        <w:t xml:space="preserve">Создали в домашней директории поддиректорию dirr1 командой mkdir dirr1.</w:t>
      </w:r>
      <w:r>
        <w:t xml:space="preserve"> </w:t>
      </w:r>
      <w:r>
        <w:t xml:space="preserve">Определили командами ls -l и lsattr, какие права доступа и расширенные атрибуты были выставлены на директорию dirr1 - чтение, запись и выполнение доступны для самого пользователя, а так же для группы, остальным только чтение и выполнение. Расширенные атрибуты отсутствуют (рис.8)</w:t>
      </w:r>
    </w:p>
    <w:p>
      <w:pPr>
        <w:pStyle w:val="FirstParagraph"/>
      </w:pPr>
      <w:r>
        <w:drawing>
          <wp:inline>
            <wp:extent cx="5334000" cy="43989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(рис.8)</w:t>
      </w:r>
    </w:p>
    <w:p>
      <w:pPr>
        <w:pStyle w:val="Compact"/>
        <w:numPr>
          <w:numId w:val="1013"/>
          <w:ilvl w:val="0"/>
        </w:numPr>
      </w:pPr>
      <w:r>
        <w:t xml:space="preserve">Сняли с директории dirr1 все атрибуты командой chmod 000 dirr1</w:t>
      </w:r>
      <w:r>
        <w:t xml:space="preserve"> </w:t>
      </w:r>
      <w:r>
        <w:t xml:space="preserve">и проверили её правильность с помощью выполнения команды ls -l. Все сработало правильно, все атрибуты сняты.</w:t>
      </w:r>
    </w:p>
    <w:p>
      <w:pPr>
        <w:pStyle w:val="FirstParagraph"/>
      </w:pPr>
      <w:r>
        <w:drawing>
          <wp:inline>
            <wp:extent cx="5334000" cy="24099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(рис.9)</w:t>
      </w:r>
    </w:p>
    <w:p>
      <w:pPr>
        <w:pStyle w:val="Compact"/>
        <w:numPr>
          <w:numId w:val="1014"/>
          <w:ilvl w:val="0"/>
        </w:numPr>
      </w:pPr>
      <w:r>
        <w:t xml:space="preserve">Попытались создать в директории dirr1 файл file1 командой echo "test" &gt; /home/guest/dirr1/file1. Проверили выполнение командой ls -l /home/guest/dirr1. Результат - создать файл файл не получилось, т.к. отсутствует право на запись. Командой chmod 700 dirr1 наделили директорию всеми правами и попробовали еще раз создать файл. Результат - сработало (рис.10)</w:t>
      </w:r>
    </w:p>
    <w:p>
      <w:pPr>
        <w:pStyle w:val="FirstParagraph"/>
      </w:pPr>
      <w:r>
        <w:drawing>
          <wp:inline>
            <wp:extent cx="5334000" cy="30747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(рис.10)</w:t>
      </w:r>
    </w:p>
    <w:p>
      <w:pPr>
        <w:pStyle w:val="Compact"/>
        <w:numPr>
          <w:numId w:val="1015"/>
          <w:ilvl w:val="0"/>
        </w:numPr>
      </w:pPr>
      <w:r>
        <w:t xml:space="preserve">Проверяем опытным путем, какие права к чему дают доступ (рис.11)</w:t>
      </w:r>
    </w:p>
    <w:p>
      <w:pPr>
        <w:pStyle w:val="FirstParagraph"/>
      </w:pPr>
      <w:r>
        <w:drawing>
          <wp:inline>
            <wp:extent cx="5334000" cy="5654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Изображения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(рис.11)</w:t>
      </w:r>
    </w:p>
    <w:p>
      <w:pPr>
        <w:pStyle w:val="Heading2"/>
      </w:pPr>
      <w:bookmarkStart w:id="45" w:name="таблица-2.1"/>
      <w:r>
        <w:t xml:space="preserve">11. Таблица 2.1</w:t>
      </w:r>
      <w:bookmarkEnd w:id="45"/>
    </w:p>
    <w:p>
      <w:pPr>
        <w:pStyle w:val="FirstParagraph"/>
      </w:pPr>
      <w:r>
        <w:t xml:space="preserve">| | | | | | | | | | |</w:t>
      </w:r>
      <w:r>
        <w:t xml:space="preserve"> </w:t>
      </w:r>
      <w:r>
        <w:t xml:space="preserve">|-|-|-|-|-|-|-|-|-|-|</w:t>
      </w:r>
      <w:r>
        <w:t xml:space="preserve"> </w:t>
      </w:r>
      <w:r>
        <w:t xml:space="preserve">|Права директории|Права файла|Создание файла|Удаление файла|Запись в файл|Чтение файла|Смена директории|Просмотр файлов в директории|Переимено- вание файла|Смена атрибутов файла|</w:t>
      </w:r>
      <w:r>
        <w:t xml:space="preserve"> </w:t>
      </w:r>
      <w:r>
        <w:t xml:space="preserve">|d(000)|(000)| -| -| -| -| -| -| -| -|</w:t>
      </w:r>
      <w:r>
        <w:t xml:space="preserve"> </w:t>
      </w:r>
      <w:r>
        <w:t xml:space="preserve">|d(000)|(100)| -| -| -| -| -| -| -| -|</w:t>
      </w:r>
      <w:r>
        <w:t xml:space="preserve"> </w:t>
      </w:r>
      <w:r>
        <w:t xml:space="preserve">|d(000)|(200)| -| -| -| -| -| -| -| -|</w:t>
      </w:r>
      <w:r>
        <w:t xml:space="preserve"> </w:t>
      </w:r>
      <w:r>
        <w:t xml:space="preserve">|d(000)|(300)| -| -| -| -| -| -| -| -|</w:t>
      </w:r>
      <w:r>
        <w:t xml:space="preserve"> </w:t>
      </w:r>
      <w:r>
        <w:t xml:space="preserve">|d(000)|(400)| -| -| -| -| -| -| -| -|</w:t>
      </w:r>
      <w:r>
        <w:t xml:space="preserve"> </w:t>
      </w:r>
      <w:r>
        <w:t xml:space="preserve">|d(000)|(500)| -| -| -| -| -| -| -| -|</w:t>
      </w:r>
      <w:r>
        <w:t xml:space="preserve"> </w:t>
      </w:r>
      <w:r>
        <w:t xml:space="preserve">|d(000)|(600)| -| -| -| -| -| -| -| -|</w:t>
      </w:r>
      <w:r>
        <w:t xml:space="preserve"> </w:t>
      </w:r>
      <w:r>
        <w:t xml:space="preserve">|d(000)|(700)| -| -| -| -| -| -| -| -|</w:t>
      </w:r>
      <w:r>
        <w:t xml:space="preserve"> </w:t>
      </w:r>
      <w:r>
        <w:t xml:space="preserve">|d(100)|(000)| -| -| -| -|+| -| -|+|</w:t>
      </w:r>
      <w:r>
        <w:t xml:space="preserve"> </w:t>
      </w:r>
      <w:r>
        <w:t xml:space="preserve">|d(100)|(100)| -| -| -| -|+| -| -|+|</w:t>
      </w:r>
      <w:r>
        <w:t xml:space="preserve"> </w:t>
      </w:r>
      <w:r>
        <w:t xml:space="preserve">|d(100)|(200)| -| -|+| -|+| -| -|+|</w:t>
      </w:r>
      <w:r>
        <w:t xml:space="preserve"> </w:t>
      </w:r>
      <w:r>
        <w:t xml:space="preserve">|d(100)|(300)| -| -|+| -|+| -| -|+|</w:t>
      </w:r>
      <w:r>
        <w:t xml:space="preserve"> </w:t>
      </w:r>
      <w:r>
        <w:t xml:space="preserve">|d(100)|(400)| -| -|-|+|+| -| -|+|</w:t>
      </w:r>
      <w:r>
        <w:t xml:space="preserve"> </w:t>
      </w:r>
      <w:r>
        <w:t xml:space="preserve">|d(100)|(500)| -| -|-|+|+| -| -|+|</w:t>
      </w:r>
      <w:r>
        <w:t xml:space="preserve"> </w:t>
      </w:r>
      <w:r>
        <w:t xml:space="preserve">|d(100)|(600)| -| -|+|+|+| -| -|+|</w:t>
      </w:r>
      <w:r>
        <w:t xml:space="preserve"> </w:t>
      </w:r>
      <w:r>
        <w:t xml:space="preserve">|d(100)|(700)| -| -|+|+|+| -| -|+|</w:t>
      </w:r>
      <w:r>
        <w:t xml:space="preserve"> </w:t>
      </w:r>
      <w:r>
        <w:t xml:space="preserve">|d(200)|(000)| -| -|-|-|-| -| -|-|</w:t>
      </w:r>
      <w:r>
        <w:t xml:space="preserve"> </w:t>
      </w:r>
      <w:r>
        <w:t xml:space="preserve">|d(200)|(100)| -| -|-|-|-| -| -|-|</w:t>
      </w:r>
      <w:r>
        <w:t xml:space="preserve"> </w:t>
      </w:r>
      <w:r>
        <w:t xml:space="preserve">|d(200)|(200)| -| -|-|-|-| -| -|-|</w:t>
      </w:r>
      <w:r>
        <w:t xml:space="preserve"> </w:t>
      </w:r>
      <w:r>
        <w:t xml:space="preserve">|d(200)|(300)| -| -|-|-|-| -| -|-|</w:t>
      </w:r>
      <w:r>
        <w:t xml:space="preserve"> </w:t>
      </w:r>
      <w:r>
        <w:t xml:space="preserve">|d(200)|(400)| -| -|-|-|-| -| -|-|</w:t>
      </w:r>
      <w:r>
        <w:t xml:space="preserve"> </w:t>
      </w:r>
      <w:r>
        <w:t xml:space="preserve">|d(200)|(500)| -| -|-|-|-| -| -|-|</w:t>
      </w:r>
      <w:r>
        <w:t xml:space="preserve"> </w:t>
      </w:r>
      <w:r>
        <w:t xml:space="preserve">|d(200)|(600)| -| -|-|-|-| -| -|-|</w:t>
      </w:r>
      <w:r>
        <w:t xml:space="preserve"> </w:t>
      </w:r>
      <w:r>
        <w:t xml:space="preserve">|d(200)|(700)| -| -|-|-|-| -| -|-|</w:t>
      </w:r>
      <w:r>
        <w:t xml:space="preserve"> </w:t>
      </w:r>
      <w:r>
        <w:t xml:space="preserve">|d(300)|(000)|+|+|-|-|+| -|+|+|</w:t>
      </w:r>
      <w:r>
        <w:t xml:space="preserve"> </w:t>
      </w:r>
      <w:r>
        <w:t xml:space="preserve">|d(300)|(100)|+|+|-|-|+| -|+|+|</w:t>
      </w:r>
      <w:r>
        <w:t xml:space="preserve"> </w:t>
      </w:r>
      <w:r>
        <w:t xml:space="preserve">|d(300)|(200)|+|+|+|-|+| -|+|+|</w:t>
      </w:r>
      <w:r>
        <w:t xml:space="preserve"> </w:t>
      </w:r>
      <w:r>
        <w:t xml:space="preserve">|d(300)|(300)|+|+|+|-|+| -|+|+|</w:t>
      </w:r>
      <w:r>
        <w:t xml:space="preserve"> </w:t>
      </w:r>
      <w:r>
        <w:t xml:space="preserve">|d(300)|(400)|+|+|-|+|+| -|+|+|</w:t>
      </w:r>
      <w:r>
        <w:t xml:space="preserve"> </w:t>
      </w:r>
      <w:r>
        <w:t xml:space="preserve">|d(300)|(500)|+|+|-|+|+| -|+|+|</w:t>
      </w:r>
      <w:r>
        <w:t xml:space="preserve"> </w:t>
      </w:r>
      <w:r>
        <w:t xml:space="preserve">|d(300)|(600)|+|+|+|+|+| -|+|+|</w:t>
      </w:r>
      <w:r>
        <w:t xml:space="preserve"> </w:t>
      </w:r>
      <w:r>
        <w:t xml:space="preserve">|d(300)|(700)|+|+|+|+|+| -|+|+|</w:t>
      </w:r>
      <w:r>
        <w:t xml:space="preserve"> </w:t>
      </w:r>
      <w:r>
        <w:t xml:space="preserve">|d(400)|(000)|-|-|-|-|-|+|-|-|</w:t>
      </w:r>
      <w:r>
        <w:t xml:space="preserve"> </w:t>
      </w:r>
      <w:r>
        <w:t xml:space="preserve">|d(400)|(100)|-|-|-|-|-|+|-|-|</w:t>
      </w:r>
      <w:r>
        <w:t xml:space="preserve"> </w:t>
      </w:r>
      <w:r>
        <w:t xml:space="preserve">|d(400)|(200)|-|-|-|-|-|+|-|-|</w:t>
      </w:r>
      <w:r>
        <w:t xml:space="preserve"> </w:t>
      </w:r>
      <w:r>
        <w:t xml:space="preserve">|d(400)|(300)|-|-|-|-|-|+|-|-|</w:t>
      </w:r>
      <w:r>
        <w:t xml:space="preserve"> </w:t>
      </w:r>
      <w:r>
        <w:t xml:space="preserve">|d(400)|(400)|-|-|-|-|-|+|-|-|</w:t>
      </w:r>
      <w:r>
        <w:t xml:space="preserve"> </w:t>
      </w:r>
      <w:r>
        <w:t xml:space="preserve">|d(400)|(500)|-|-|-|-|-|+|-|-|</w:t>
      </w:r>
      <w:r>
        <w:t xml:space="preserve"> </w:t>
      </w:r>
      <w:r>
        <w:t xml:space="preserve">|d(400)|(600)|-|-|-|-|-|+|-|-|</w:t>
      </w:r>
      <w:r>
        <w:t xml:space="preserve"> </w:t>
      </w:r>
      <w:r>
        <w:t xml:space="preserve">|d(400)|(700)|-|-|-|-|-|+|-|-|</w:t>
      </w:r>
      <w:r>
        <w:t xml:space="preserve"> </w:t>
      </w:r>
      <w:r>
        <w:t xml:space="preserve">|d(500)|(000)|-|-|-|-|+|+|-|+|</w:t>
      </w:r>
      <w:r>
        <w:t xml:space="preserve"> </w:t>
      </w:r>
      <w:r>
        <w:t xml:space="preserve">|d(500)|(100)|-|-|-|-|+|+|-|+|</w:t>
      </w:r>
      <w:r>
        <w:t xml:space="preserve"> </w:t>
      </w:r>
      <w:r>
        <w:t xml:space="preserve">|d(500)|(200)|-|-|+|-|+|+|-|+|</w:t>
      </w:r>
      <w:r>
        <w:t xml:space="preserve"> </w:t>
      </w:r>
      <w:r>
        <w:t xml:space="preserve">|d(500)|(300)|-|-|+|-|+|+|-|+|</w:t>
      </w:r>
      <w:r>
        <w:t xml:space="preserve"> </w:t>
      </w:r>
      <w:r>
        <w:t xml:space="preserve">|d(500)|(400)|-|-|-|+|+|+|-|+|</w:t>
      </w:r>
      <w:r>
        <w:t xml:space="preserve"> </w:t>
      </w:r>
      <w:r>
        <w:t xml:space="preserve">|d(500)|(500)|-|-|-|+|+|+|-|+|</w:t>
      </w:r>
      <w:r>
        <w:t xml:space="preserve"> </w:t>
      </w:r>
      <w:r>
        <w:t xml:space="preserve">|d(500)|(600)|-|-|+|+|+|+|-|+|</w:t>
      </w:r>
      <w:r>
        <w:t xml:space="preserve"> </w:t>
      </w:r>
      <w:r>
        <w:t xml:space="preserve">|d(500)|(700)|-|-|+|+|+|+|-|+|</w:t>
      </w:r>
      <w:r>
        <w:t xml:space="preserve"> </w:t>
      </w:r>
      <w:r>
        <w:t xml:space="preserve">|d(600)|(000)|-|-|-|-|-|+|-|-|</w:t>
      </w:r>
      <w:r>
        <w:t xml:space="preserve"> </w:t>
      </w:r>
      <w:r>
        <w:t xml:space="preserve">|d(600)|(100)|-|-|-|-|-|+|-|-|</w:t>
      </w:r>
      <w:r>
        <w:t xml:space="preserve"> </w:t>
      </w:r>
      <w:r>
        <w:t xml:space="preserve">|d(600)|(200)|-|-|-|-|-|+|-|-|</w:t>
      </w:r>
      <w:r>
        <w:t xml:space="preserve"> </w:t>
      </w:r>
      <w:r>
        <w:t xml:space="preserve">|d(600)|(300)|-|-|-|-|-|+|-|-|</w:t>
      </w:r>
      <w:r>
        <w:t xml:space="preserve"> </w:t>
      </w:r>
      <w:r>
        <w:t xml:space="preserve">|d(600)|(400)|-|-|-|-|-|+|-|-|</w:t>
      </w:r>
      <w:r>
        <w:t xml:space="preserve"> </w:t>
      </w:r>
      <w:r>
        <w:t xml:space="preserve">|d(600)|(500)|-|-|-|-|-|+|-|-|</w:t>
      </w:r>
      <w:r>
        <w:t xml:space="preserve"> </w:t>
      </w:r>
      <w:r>
        <w:t xml:space="preserve">|d(600)|(600)|-|-|-|-|-|+|-|-|</w:t>
      </w:r>
      <w:r>
        <w:t xml:space="preserve"> </w:t>
      </w:r>
      <w:r>
        <w:t xml:space="preserve">|d(600)|(700)|-|-|-|-|-|+|-|-|</w:t>
      </w:r>
      <w:r>
        <w:t xml:space="preserve"> </w:t>
      </w:r>
      <w:r>
        <w:t xml:space="preserve">|d(700)|(000)|+|+|-|-|+|+|+|+|</w:t>
      </w:r>
      <w:r>
        <w:t xml:space="preserve"> </w:t>
      </w:r>
      <w:r>
        <w:t xml:space="preserve">|d(700)|(100)|+|+|-|-|+|+|+|+|</w:t>
      </w:r>
      <w:r>
        <w:t xml:space="preserve"> </w:t>
      </w:r>
      <w:r>
        <w:t xml:space="preserve">|d(700)|(200)|+|+|+|-|+|+|+|+|</w:t>
      </w:r>
      <w:r>
        <w:t xml:space="preserve"> </w:t>
      </w:r>
      <w:r>
        <w:t xml:space="preserve">|d(700)|(300)|+|+|+|-|+|+|+|+|</w:t>
      </w:r>
      <w:r>
        <w:t xml:space="preserve"> </w:t>
      </w:r>
      <w:r>
        <w:t xml:space="preserve">|d(700)|(400)|+|+|-|+|+|+|+|+|</w:t>
      </w:r>
      <w:r>
        <w:t xml:space="preserve"> </w:t>
      </w:r>
      <w:r>
        <w:t xml:space="preserve">|d(700)|(500)|+|+|-|+|+|+|+|+|</w:t>
      </w:r>
      <w:r>
        <w:t xml:space="preserve"> </w:t>
      </w:r>
      <w:r>
        <w:t xml:space="preserve">|d(700)|(600)|+|+|+|+|+|+|+|+|</w:t>
      </w:r>
      <w:r>
        <w:t xml:space="preserve"> </w:t>
      </w:r>
      <w:r>
        <w:t xml:space="preserve">|d(700)|(700)|+|+|+|+|+|+|+|+|</w:t>
      </w:r>
    </w:p>
    <w:p>
      <w:pPr>
        <w:pStyle w:val="Heading2"/>
      </w:pPr>
      <w:bookmarkStart w:id="46" w:name="таблица-2.2"/>
      <w:r>
        <w:t xml:space="preserve">Таблица 2.2</w:t>
      </w:r>
      <w:bookmarkEnd w:id="46"/>
    </w:p>
    <w:p>
      <w:pPr>
        <w:pStyle w:val="FirstParagraph"/>
      </w:pPr>
      <w:r>
        <w:t xml:space="preserve">| | | | | |</w:t>
      </w:r>
      <w:r>
        <w:t xml:space="preserve"> </w:t>
      </w:r>
      <w:r>
        <w:t xml:space="preserve">|-|-|-|-|-|</w:t>
      </w:r>
      <w:r>
        <w:t xml:space="preserve"> </w:t>
      </w:r>
      <w:r>
        <w:t xml:space="preserve">|Операция| |Минимальные права на директорию| |Минимальные права на файл|</w:t>
      </w:r>
      <w:r>
        <w:t xml:space="preserve"> </w:t>
      </w:r>
      <w:r>
        <w:t xml:space="preserve">|Создание файла| |d(300)| |-|</w:t>
      </w:r>
      <w:r>
        <w:t xml:space="preserve"> </w:t>
      </w:r>
      <w:r>
        <w:t xml:space="preserve">|Удаление файла| |d(300)| |-|</w:t>
      </w:r>
      <w:r>
        <w:t xml:space="preserve"> </w:t>
      </w:r>
      <w:r>
        <w:t xml:space="preserve">|Чтение файла| |d(100)| |(400)|</w:t>
      </w:r>
      <w:r>
        <w:t xml:space="preserve"> </w:t>
      </w:r>
      <w:r>
        <w:t xml:space="preserve">|Запись в файл| |d(100)| |(200)|</w:t>
      </w:r>
      <w:r>
        <w:t xml:space="preserve"> </w:t>
      </w:r>
      <w:r>
        <w:t xml:space="preserve">|Переименование файла| |d(300)| |(000)|</w:t>
      </w:r>
      <w:r>
        <w:t xml:space="preserve"> </w:t>
      </w:r>
      <w:r>
        <w:t xml:space="preserve">|Создание поддиректории| |d(300)| |-|</w:t>
      </w:r>
      <w:r>
        <w:t xml:space="preserve"> </w:t>
      </w:r>
      <w:r>
        <w:t xml:space="preserve">|Удаление поддиректории| |d(300)| |-|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2024-09-21T13:28:49Z</dcterms:created>
  <dcterms:modified xsi:type="dcterms:W3CDTF">2024-09-21T13:28:49Z</dcterms:modified>
</cp:coreProperties>
</file>