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3"/>
      </w:pPr>
      <w:r>
        <w:drawing>
          <wp:inline distT="0" distB="0" distL="0" distR="0">
            <wp:extent cx="1152000" cy="55589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555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Poppins Medium" w:cs="Poppins Medium" w:eastAsia="Poppins Medium" w:hAnsi="Poppins Medium"/>
          <w:color w:val="FCAF19"/>
          <w:spacing w:val="30"/>
          <w:sz w:val="15"/>
          <w:szCs w:val="15"/>
        </w:rPr>
        <w:t xml:space="preserve">OFFRE D’EMPLOI  ·  CDI</w:t>
      </w:r>
    </w:p>
    <w:p>
      <w:pPr>
        <w:spacing w:after="110" w:line="240" w:lineRule="auto"/>
      </w:pPr>
      <w:r>
        <w:rPr>
          <w:rFonts w:ascii="Poppins SemiBold" w:cs="Poppins SemiBold" w:eastAsia="Poppins SemiBold" w:hAnsi="Poppins SemiBold"/>
          <w:color w:val="FFFFFF"/>
          <w:sz w:val="48"/>
          <w:szCs w:val="48"/>
        </w:rPr>
        <w:t xml:space="preserve">Avocat(e) associé(e) </w:t>
      </w:r>
      <w:r>
        <w:rPr>
          <w:rFonts w:ascii="Poppins SemiBold" w:cs="Poppins SemiBold" w:eastAsia="Poppins SemiBold" w:hAnsi="Poppins SemiBold"/>
          <w:color w:val="FCAF19"/>
          <w:sz w:val="48"/>
          <w:szCs w:val="48"/>
        </w:rPr>
        <w:t xml:space="preserve">salarié(e)</w:t>
      </w:r>
    </w:p>
    <w:p>
      <w:pPr>
        <w:spacing w:after="100" w:line="280" w:lineRule="auto"/>
        <w:ind w:right="2948"/>
      </w:pPr>
      <w:r>
        <w:rPr>
          <w:rFonts w:ascii="Open Sans" w:cs="Open Sans" w:eastAsia="Open Sans" w:hAnsi="Open Sans"/>
          <w:color w:val="FFFFFF"/>
          <w:sz w:val="20"/>
          <w:szCs w:val="20"/>
        </w:rPr>
        <w:t xml:space="preserve">Nous recherchons aujourd’hui un(e) avocat(e) démontrant un fort leadership et une capacité à prendre à terme le relais dans l’animation du cabinet.</w:t>
      </w:r>
    </w:p>
    <w:p>
      <w:pPr>
        <w:pBdr>
          <w:left w:val="single" w:color="FCAF19" w:sz="24" w:space="8"/>
        </w:pBdr>
        <w:spacing w:after="140" w:line="255" w:lineRule="auto"/>
        <w:ind w:left="198" w:right="2948"/>
      </w:pPr>
      <w:r>
        <w:rPr>
          <w:rFonts w:ascii="Poppins SemiBold" w:cs="Poppins SemiBold" w:eastAsia="Poppins SemiBold" w:hAnsi="Poppins SemiBold"/>
          <w:color w:val="FCAF19"/>
          <w:sz w:val="24"/>
          <w:szCs w:val="24"/>
        </w:rPr>
        <w:t xml:space="preserve">Ce poste est créé dans une perspective rapide d’association.</w:t>
      </w:r>
    </w:p>
    <w:p>
      <w:pPr>
        <w:spacing w:after="0" w:line="259" w:lineRule="auto"/>
      </w:pP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GRENOBLE (38)</w:t>
      </w:r>
      <w:r>
        <w:rPr>
          <w:rFonts w:ascii="Poppins Medium" w:cs="Poppins Medium" w:eastAsia="Poppins Medium" w:hAnsi="Poppins Medium"/>
          <w:color w:val="FAF0C7"/>
          <w:spacing w:val="30"/>
          <w:sz w:val="13"/>
          <w:szCs w:val="13"/>
        </w:rPr>
        <w:t xml:space="preserve">   ·   CDI   ·   STATUT CADRE   ·   </w:t>
      </w:r>
      <w:r>
        <w:rPr>
          <w:rFonts w:ascii="Poppins Medium" w:cs="Poppins Medium" w:eastAsia="Poppins Medium" w:hAnsi="Poppins Medium"/>
          <w:color w:val="FCAF19"/>
          <w:spacing w:val="30"/>
          <w:sz w:val="13"/>
          <w:szCs w:val="13"/>
        </w:rPr>
        <w:t xml:space="preserve">PERSPECTIVE D’ASSOCIATION</w:t>
      </w:r>
    </w:p>
    <w:p>
      <w:pPr>
        <w:spacing w:after="0" w:before="0" w:line="850" w:lineRule="exact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01</w:t>
            </w:r>
          </w:p>
          <w:p>
            <w:pPr>
              <w:spacing w:after="70" w:line="245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18"/>
                <w:szCs w:val="18"/>
              </w:rPr>
              <w:t xml:space="preserve">« Défendre les victimes n’est pas seulement un métier. C’est d’abord notre engagement. »</w:t>
            </w:r>
          </w:p>
          <w:p>
            <w:pPr>
              <w:spacing w:after="0"/>
            </w:pPr>
            <w:r>
              <w:rPr>
                <w:rFonts w:ascii="Open Sans" w:cs="Open Sans" w:eastAsia="Open Sans" w:hAnsi="Open Sans"/>
                <w:color w:val="3F4A52"/>
                <w:sz w:val="14"/>
                <w:szCs w:val="14"/>
              </w:rPr>
              <w:t xml:space="preserve">Hervé Gerbi, avocat fondateur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LE CABINET ET LE CONTEXTE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 cabinet dédié aux victimes</w:t>
            </w:r>
          </w:p>
          <w:p>
            <w:pPr>
              <w:spacing w:after="0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Victimes &amp; Préjudices Avocats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est un cabinet grenoblois et annecien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exclusivement dédié à la défense des victimes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 : accidents de la route, responsabilité médicale, accidents corporels et maladies du travail, accidents de la vie, droit pénal des victimes. Nous accompagnons chaque jour les victimes et leurs familles </w:t>
            </w: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jusqu’à leur complète indemnisation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.</w:t>
            </w:r>
          </w:p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02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Prêt(e) à relever de nouveaux défis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VOS MISSIONS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De la consultation à l’indemnisation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Piloter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portefeuille de dossiers jusqu’à l’indemnisation définitive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Construire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stratégies d’indemnisation sur mesure : analyse des pièces médicales et juridiques, évaluation et chiffrage des préjudices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Rédiger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actes : assignations, conclusions, consultations, notes de synthèse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Préparer et conduire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expertises médicales amiables et judiciaires, en lien étroit avec les médecins de recours et les autres experts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Plaider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devant les juridictions civiles, administratives et pénales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Porter la relation client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accompagner les victimes et leurs proches à chaque étape, en interlocuteur ou interlocutrice de référence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Développer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les relations avec les prescripteurs, la visibilité, les relations presse et de nouveaux axes de pratique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single" w:color="D3D9DE" w:sz="4"/>
                    <w:left w:val="single" w:color="B52026" w:sz="24"/>
                    <w:bottom w:val="single" w:color="D3D9DE" w:sz="4"/>
                    <w:right w:val="single" w:color="D3D9DE" w:sz="4"/>
                  </w:tcBorders>
                  <w:tcMar>
                    <w:top w:type="dxa" w:w="90"/>
                    <w:left w:type="dxa" w:w="200"/>
                    <w:bottom w:type="dxa" w:w="100"/>
                    <w:right w:type="dxa" w:w="160"/>
                  </w:tcMar>
                  <w:vAlign w:val="top"/>
                </w:tcPr>
                <w:p>
                  <w:pPr>
                    <w:spacing w:after="2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1"/>
                      <w:szCs w:val="21"/>
                    </w:rPr>
                    <w:t xml:space="preserve">Faire évoluer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nos méthodes : structuration des process, outils numériques, intelligence artificielle, montée en compétence de l’équipe</w:t>
                  </w:r>
                </w:p>
              </w:tc>
            </w:tr>
          </w:tbl>
          <w:p/>
        </w:tc>
      </w:tr>
    </w:tbl>
    <w:p>
      <w:pPr>
        <w:pageBreakBefore/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03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 projet d’association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PROFIL RECHERCHÉ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Formation et expérience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CAPA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5 ans minimum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de pratique en cabinet, avec une réelle exposition au contentieux et à la relation client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304859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CAF19"/>
                      <w:sz w:val="22"/>
                      <w:szCs w:val="22"/>
                    </w:rPr>
                    <w:t xml:space="preserve">+ Spécialisation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en droit du dommage corporel, en responsabilité médicale ou en droit de la santé serait un plus</w:t>
                  </w:r>
                </w:p>
              </w:tc>
            </w:tr>
          </w:tbl>
          <w:p>
            <w:pPr>
              <w:spacing w:after="198" w:before="198" w:line="265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7"/>
                <w:szCs w:val="17"/>
              </w:rPr>
              <w:t xml:space="preserve">À défaut</w:t>
            </w:r>
            <w:r>
              <w:rPr>
                <w:rFonts w:ascii="Open Sans" w:cs="Open Sans" w:eastAsia="Open Sans" w:hAnsi="Open Sans"/>
                <w:color w:val="262626"/>
                <w:sz w:val="17"/>
                <w:szCs w:val="17"/>
              </w:rPr>
              <w:t xml:space="preserve">, votre capacité à vous approprier rapidement la matière et à prendre le relais compte davantage qu’une spécialisation déjà acquise.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COMPÉTENCES TECHNIQUES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Responsabilité civile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solide maîtrise du droit de la responsabilité civile et des mécanismes d’indemnisation.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Actes et plaidoirie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aisance en rédaction d’actes et à la plaidoirie.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Pièces médicales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capacité à travailler sur pièces médicales et à dialoguer avec des experts.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Numérique et IA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appétence réelle pour les outils numériques et l’innovation juridique (digitalisation, IA).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tbl>
                  <w:tblPr>
                    <w:tblW w:type="dxa" w:w="3742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  <w:tblLayout w:type="fixed"/>
                  </w:tblPr>
                  <w:tblGrid>
                    <w:gridCol w:w="3742"/>
                  </w:tblGrid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304859" w:color="auto" w:val="clear"/>
                        <w:tcMar>
                          <w:top w:type="dxa" w:w="90"/>
                          <w:left w:type="dxa" w:w="190"/>
                          <w:bottom w:type="dxa" w:w="80"/>
                          <w:right w:type="dxa" w:w="170"/>
                        </w:tcMar>
                        <w:vAlign w:val="top"/>
                      </w:tcPr>
                      <w:p>
                        <w:pPr>
                          <w:spacing w:after="0" w:line="259" w:lineRule="auto"/>
                        </w:pPr>
                        <w:r>
                          <w:rPr>
                            <w:rFonts w:ascii="Poppins Medium" w:cs="Poppins Medium" w:eastAsia="Poppins Medium" w:hAnsi="Poppins Medium"/>
                            <w:color w:val="FFFFFF"/>
                            <w:spacing w:val="30"/>
                            <w:sz w:val="13"/>
                            <w:szCs w:val="13"/>
                          </w:rPr>
                          <w:t xml:space="preserve">QUALITÉS PERSONNELLES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742"/>
                        <w:tcBorders>
                          <w:top w:val="none" w:color="FFFFFF" w:sz="0"/>
                          <w:left w:val="single" w:color="D3D9DE" w:sz="4"/>
                          <w:bottom w:val="single" w:color="D3D9DE" w:sz="4"/>
                          <w:right w:val="single" w:color="D3D9DE" w:sz="4"/>
                        </w:tcBorders>
                        <w:tcMar>
                          <w:top w:type="dxa" w:w="110"/>
                          <w:left w:type="dxa" w:w="170"/>
                          <w:bottom w:type="dxa" w:w="60"/>
                          <w:right w:type="dxa" w:w="160"/>
                        </w:tcMar>
                        <w:vAlign w:val="top"/>
                      </w:tcPr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Leadership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savez entraîner une équipe, arbitrer et décider.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Esprit entrepreneurial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vous prenez des initiatives et vous inscrivez dans une logique de développement.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Excellente communication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à l’écrit comme à l’oral, devant un tribunal comme face à des victimes éprouvées.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Sens affirmé de la relation client : 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écoute, empathie, humanité.</w:t>
                        </w:r>
                      </w:p>
                      <w:p>
                        <w:pPr>
                          <w:pStyle w:val="ListParagraph"/>
                          <w:numPr>
                            <w:ilvl w:val="0"/>
                            <w:numId w:val="2"/>
                          </w:numPr>
                          <w:spacing w:after="50" w:line="240" w:lineRule="auto"/>
                        </w:pPr>
                        <w:r>
                          <w:rPr>
                            <w:rFonts w:ascii="Open Sans SemiBold" w:cs="Open Sans SemiBold" w:eastAsia="Open Sans SemiBold" w:hAnsi="Open Sans SemiBold"/>
                            <w:color w:val="262626"/>
                            <w:sz w:val="15"/>
                            <w:szCs w:val="15"/>
                          </w:rPr>
                          <w:t xml:space="preserve">Autonomie, rigueur et sens du collectif</w:t>
                        </w:r>
                        <w:r>
                          <w:rPr>
                            <w:rFonts w:ascii="Open Sans" w:cs="Open Sans" w:eastAsia="Open Sans" w:hAnsi="Open Sans"/>
                            <w:color w:val="262626"/>
                            <w:sz w:val="15"/>
                            <w:szCs w:val="15"/>
                          </w:rPr>
                          <w:t xml:space="preserve">, dans un environnement exigeant et bienveillant.</w:t>
                        </w:r>
                      </w:p>
                    </w:tc>
                  </w:tr>
                </w:tbl>
                <w:p/>
              </w:tc>
            </w:tr>
          </w:tbl>
          <w:p/>
        </w:tc>
      </w:tr>
    </w:tbl>
    <w:p>
      <w:pPr>
        <w:pBdr>
          <w:bottom w:val="single" w:color="D3D9DE" w:sz="6" w:space="1"/>
        </w:pBdr>
        <w:spacing w:after="283" w:before="227"/>
      </w:pPr>
    </w:p>
    <w:p>
      <w:pPr>
        <w:spacing w:after="0" w:line="40" w:lineRule="exact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41"/>
        <w:gridCol w:w="340"/>
        <w:gridCol w:w="7711"/>
      </w:tblGrid>
      <w:tr>
        <w:trPr>
          <w:cantSplit/>
        </w:trPr>
        <w:tc>
          <w:tcPr>
            <w:tcW w:type="dxa" w:w="20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line="240" w:lineRule="auto"/>
            </w:pPr>
            <w:r>
              <w:rPr>
                <w:rFonts w:ascii="Poppins SemiBold" w:cs="Poppins SemiBold" w:eastAsia="Poppins SemiBold" w:hAnsi="Poppins SemiBold"/>
                <w:color w:val="B52026"/>
                <w:sz w:val="52"/>
                <w:szCs w:val="52"/>
              </w:rPr>
              <w:t xml:space="preserve">04</w:t>
            </w:r>
          </w:p>
          <w:p>
            <w:pPr>
              <w:spacing w:after="0" w:line="250" w:lineRule="auto"/>
              <w:ind w:right="113"/>
            </w:pPr>
            <w:r>
              <w:rPr>
                <w:rFonts w:ascii="Poppins SemiBold" w:cs="Poppins SemiBold" w:eastAsia="Poppins SemiBold" w:hAnsi="Poppins SemiBold"/>
                <w:color w:val="304859"/>
                <w:sz w:val="21"/>
                <w:szCs w:val="21"/>
              </w:rPr>
              <w:t xml:space="preserve">Une ambition à la hauteur de la vôtre ?</w:t>
            </w:r>
          </w:p>
        </w:tc>
        <w:tc>
          <w:tcPr>
            <w:tcW w:type="dxa" w:w="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line="259" w:lineRule="auto"/>
            </w:pP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/>
            </w:pPr>
            <w:r>
              <w:rPr>
                <w:rFonts w:ascii="Poppins Medium" w:cs="Poppins Medium" w:eastAsia="Poppins Medium" w:hAnsi="Poppins Medium"/>
                <w:color w:val="B52026"/>
                <w:spacing w:val="30"/>
                <w:sz w:val="13"/>
                <w:szCs w:val="13"/>
              </w:rPr>
              <w:t xml:space="preserve">CE QUE NOUS VOUS OFFRONS</w:t>
            </w:r>
          </w:p>
          <w:p>
            <w:pPr>
              <w:spacing w:after="110" w:line="240" w:lineRule="auto"/>
            </w:pPr>
            <w:r>
              <w:rPr>
                <w:rFonts w:ascii="Poppins SemiBold" w:cs="Poppins SemiBold" w:eastAsia="Poppins SemiBold" w:hAnsi="Poppins SemiBold"/>
                <w:color w:val="304859"/>
                <w:sz w:val="33"/>
                <w:szCs w:val="33"/>
              </w:rPr>
              <w:t xml:space="preserve">Une perspective d’association</w:t>
            </w:r>
          </w:p>
          <w:p>
            <w:pPr>
              <w:spacing w:after="198" w:line="276" w:lineRule="auto"/>
              <w:jc w:val="both"/>
            </w:pPr>
            <w:r>
              <w:rPr>
                <w:rFonts w:ascii="Open Sans SemiBold" w:cs="Open Sans SemiBold" w:eastAsia="Open Sans SemiBold" w:hAnsi="Open Sans SemiBold"/>
                <w:color w:val="262626"/>
                <w:sz w:val="18"/>
                <w:szCs w:val="18"/>
              </w:rPr>
              <w:t xml:space="preserve">Vous avancez vers l’association par étapes.</w:t>
            </w:r>
            <w:r>
              <w:rPr>
                <w:rFonts w:ascii="Open Sans" w:cs="Open Sans" w:eastAsia="Open Sans" w:hAnsi="Open Sans"/>
                <w:color w:val="262626"/>
                <w:sz w:val="18"/>
                <w:szCs w:val="18"/>
              </w:rPr>
              <w:t xml:space="preserve"> Vous prendrez en charge des responsabilités progressivement.</w:t>
            </w: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742"/>
              <w:gridCol w:w="227"/>
              <w:gridCol w:w="3742"/>
            </w:tblGrid>
            <w:tr>
              <w:trPr>
                <w:cantSplit/>
              </w:trPr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218 jours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CDI, statut cadre, forfait annuel ; rémunération fixe selon profil et expérience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374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B52026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FFFFFF"/>
                      <w:sz w:val="26"/>
                      <w:szCs w:val="26"/>
                    </w:rPr>
                    <w:t xml:space="preserve">PEE et PER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FFFFFF"/>
                      <w:sz w:val="15"/>
                      <w:szCs w:val="15"/>
                    </w:rPr>
                    <w:t xml:space="preserve">avec abondement du cabinet, en plus des tickets restaurant</w:t>
                  </w:r>
                </w:p>
              </w:tc>
            </w:tr>
          </w:tbl>
          <w:p>
            <w:pPr>
              <w:spacing w:after="0" w:before="0" w:line="142" w:lineRule="exact"/>
            </w:pPr>
          </w:p>
          <w:tbl>
            <w:tblPr>
              <w:tblW w:type="dxa" w:w="7711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19"/>
              <w:gridCol w:w="227"/>
              <w:gridCol w:w="2419"/>
              <w:gridCol w:w="227"/>
              <w:gridCol w:w="2419"/>
            </w:tblGrid>
            <w:tr>
              <w:trPr>
                <w:cantSplit/>
              </w:trPr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Fort enjeu humain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des dossiers techniques, au service exclusif des victimes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Taille humaine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un cabinet équipé d’outils numériques performants et engagé dans l’innovation</w:t>
                  </w:r>
                </w:p>
              </w:tc>
              <w:tc>
                <w:tcPr>
                  <w:tcW w:type="dxa" w:w="227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line="259" w:lineRule="auto"/>
                  </w:pPr>
                </w:p>
              </w:tc>
              <w:tc>
                <w:tcPr>
                  <w:tcW w:type="dxa" w:w="241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AF0C7" w:color="auto" w:val="clear"/>
                  <w:tcMar>
                    <w:top w:type="dxa" w:w="120"/>
                    <w:left w:type="dxa" w:w="180"/>
                    <w:bottom w:type="dxa" w:w="130"/>
                    <w:right w:type="dxa" w:w="160"/>
                  </w:tcMar>
                  <w:vAlign w:val="top"/>
                </w:tcPr>
                <w:p>
                  <w:pPr>
                    <w:spacing w:after="30" w:line="240" w:lineRule="auto"/>
                  </w:pPr>
                  <w:r>
                    <w:rPr>
                      <w:rFonts w:ascii="Poppins SemiBold" w:cs="Poppins SemiBold" w:eastAsia="Poppins SemiBold" w:hAnsi="Poppins SemiBold"/>
                      <w:color w:val="304859"/>
                      <w:sz w:val="20"/>
                      <w:szCs w:val="20"/>
                    </w:rPr>
                    <w:t xml:space="preserve">Au cœur des Alpes</w:t>
                  </w:r>
                </w:p>
                <w:p>
                  <w:pPr>
                    <w:spacing w:after="0" w:line="245" w:lineRule="auto"/>
                  </w:pPr>
                  <w:r>
                    <w:rPr>
                      <w:rFonts w:ascii="Open Sans" w:cs="Open Sans" w:eastAsia="Open Sans" w:hAnsi="Open Sans"/>
                      <w:color w:val="3F4A52"/>
                      <w:sz w:val="15"/>
                      <w:szCs w:val="15"/>
                    </w:rPr>
                    <w:t xml:space="preserve">Grenoble et son cadre de vie montagneux</w:t>
                  </w:r>
                </w:p>
              </w:tc>
            </w:tr>
          </w:tbl>
          <w:p/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680" w:right="907" w:bottom="794" w:left="907" w:header="283" w:footer="34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SemiBold">
    <w:charset w:val="00"/>
    <w:family w:val="auto"/>
    <w:pitch w:val="variable"/>
    <w:sig w:usb0="E0002AFF" w:usb1="C000247B" w:usb2="00000009" w:usb3="00000000" w:csb0="000001FF" w:csb1="00000000"/>
    <w:embedRegular r:id="rId1" w:fontKey="{4F71C455-A02C-AD1D-5903-5EA1919B003B}"/>
  </w:font>
  <w:font w:name="Poppins Medium">
    <w:charset w:val="00"/>
    <w:family w:val="auto"/>
    <w:pitch w:val="variable"/>
    <w:sig w:usb0="E0002AFF" w:usb1="C000247B" w:usb2="00000009" w:usb3="00000000" w:csb0="000001FF" w:csb1="00000000"/>
    <w:embedRegular r:id="rId2" w:fontKey="{C3635C54-6806-AFA9-BBF6-4F1B78079010}"/>
  </w:font>
  <w:font w:name="Open Sans">
    <w:charset w:val="00"/>
    <w:family w:val="auto"/>
    <w:pitch w:val="variable"/>
    <w:sig w:usb0="E0002AFF" w:usb1="C000247B" w:usb2="00000009" w:usb3="00000000" w:csb0="000001FF" w:csb1="00000000"/>
    <w:embedRegular r:id="rId3" w:fontKey="{B727E6D9-0A7C-C50E-3FD8-B313BCFA1E25}"/>
  </w:font>
  <w:font w:name="Open Sans SemiBold">
    <w:charset w:val="00"/>
    <w:family w:val="auto"/>
    <w:pitch w:val="variable"/>
    <w:sig w:usb0="E0002AFF" w:usb1="C000247B" w:usb2="00000009" w:usb3="00000000" w:csb0="000001FF" w:csb1="00000000"/>
    <w:embedRegular r:id="rId4" w:fontKey="{043497AA-C99D-3DAA-9235-F72B5054C21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  <w:r>
      <w:drawing>
        <wp:anchor distT="0" distB="0" distL="0" distR="0" simplePos="0" allowOverlap="1" behindDoc="1" locked="1" layoutInCell="0" relativeHeight="2521016">
          <wp:simplePos x="0" y="0"/>
          <wp:positionH relativeFrom="page">
            <wp:posOffset>0</wp:posOffset>
          </wp:positionH>
          <wp:positionV relativeFrom="page">
            <wp:posOffset>8172000</wp:posOffset>
          </wp:positionV>
          <wp:extent cx="7560000" cy="2521016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25210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5330"/>
      <w:gridCol w:w="340"/>
      <w:gridCol w:w="4422"/>
    </w:tblGrid>
    <w:tr>
      <w:trPr>
        <w:cantSplit/>
      </w:trPr>
      <w:tc>
        <w:tcPr>
          <w:tcW w:type="dxa" w:w="533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20"/>
          </w:pPr>
          <w:r>
            <w:rPr>
              <w:rFonts w:ascii="Poppins Medium" w:cs="Poppins Medium" w:eastAsia="Poppins Medium" w:hAnsi="Poppins Medium"/>
              <w:color w:val="FCAF19"/>
              <w:spacing w:val="30"/>
              <w:sz w:val="13"/>
              <w:szCs w:val="13"/>
            </w:rPr>
            <w:t xml:space="preserve">INFORMATIONS PRATIQUES</w:t>
          </w:r>
        </w:p>
        <w:p>
          <w:pPr>
            <w:spacing w:after="40" w:line="240" w:lineRule="auto"/>
          </w:pPr>
          <w:r>
            <w:rPr>
              <w:rFonts w:ascii="Poppins SemiBold" w:cs="Poppins SemiBold" w:eastAsia="Poppins SemiBold" w:hAnsi="Poppins SemiBold"/>
              <w:color w:val="FFFFFF"/>
              <w:sz w:val="29"/>
              <w:szCs w:val="29"/>
            </w:rPr>
            <w:t xml:space="preserve">Comment candidater ?</w:t>
          </w:r>
        </w:p>
        <w:p>
          <w:pPr>
            <w:spacing w:after="0" w:line="259" w:lineRule="auto"/>
          </w:pPr>
          <w:r>
            <w:rPr>
              <w:rFonts w:ascii="Open Sans SemiBold" w:cs="Open Sans SemiBold" w:eastAsia="Open Sans SemiBold" w:hAnsi="Open Sans SemiBold"/>
              <w:color w:val="FFFFFF"/>
              <w:sz w:val="16"/>
              <w:szCs w:val="16"/>
            </w:rPr>
            <w:t xml:space="preserve">Nous étudions toutes les candidatures</w:t>
          </w:r>
          <w:r>
            <w:rPr>
              <w:rFonts w:ascii="Open Sans" w:cs="Open Sans" w:eastAsia="Open Sans" w:hAnsi="Open Sans"/>
              <w:color w:val="FAF0C7"/>
              <w:sz w:val="16"/>
              <w:szCs w:val="16"/>
            </w:rPr>
            <w:br/>
            <w:t xml:space="preserve">et nous nous engageons à répondre à chacune.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442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tbl>
          <w:tblPr>
            <w:tblW w:type="dxa" w:w="4422"/>
            <w:tblBorders>
              <w:top w:val="none" w:color="FFFFFF" w:sz="0"/>
              <w:left w:val="none" w:color="FFFFFF" w:sz="0"/>
              <w:bottom w:val="none" w:color="FFFFFF" w:sz="0"/>
              <w:right w:val="none" w:color="FFFFFF" w:sz="0"/>
              <w:insideH w:val="none" w:color="FFFFFF" w:sz="0"/>
              <w:insideV w:val="none" w:color="FFFFFF" w:sz="0"/>
            </w:tblBorders>
            <w:tblLayout w:type="fixed"/>
          </w:tblPr>
          <w:tblGrid>
            <w:gridCol w:w="4422"/>
          </w:tblGrid>
          <w:tr>
            <w:trPr>
              <w:cantSplit/>
            </w:trPr>
            <w:tc>
              <w:tcPr>
                <w:tcW w:type="dxa" w:w="4422"/>
                <w:tcBorders>
                  <w:top w:val="none" w:color="FFFFFF" w:sz="0"/>
                  <w:left w:val="none" w:color="FFFFFF" w:sz="0"/>
                  <w:bottom w:val="none" w:color="FFFFFF" w:sz="0"/>
                  <w:right w:val="none" w:color="FFFFFF" w:sz="0"/>
                </w:tcBorders>
                <w:shd w:fill="FCAF19" w:color="auto" w:val="clear"/>
                <w:tcMar>
                  <w:top w:type="dxa" w:w="150"/>
                  <w:left w:type="dxa" w:w="200"/>
                  <w:bottom w:type="dxa" w:w="150"/>
                  <w:right w:type="dxa" w:w="200"/>
                </w:tcMar>
                <w:vAlign w:val="top"/>
              </w:tcPr>
              <w:tbl>
                <w:tblPr>
                  <w:tblW w:type="dxa" w:w="4022"/>
                  <w:tbl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  <w:insideH w:val="none" w:color="FFFFFF" w:sz="0"/>
                    <w:insideV w:val="none" w:color="FFFFFF" w:sz="0"/>
                  </w:tblBorders>
                  <w:tblLayout w:type="fixed"/>
                </w:tblPr>
                <w:tblGrid>
                  <w:gridCol w:w="680"/>
                  <w:gridCol w:w="3342"/>
                </w:tblGrid>
                <w:tr>
                  <w:trPr>
                    <w:cantSplit/>
                  </w:trPr>
                  <w:tc>
                    <w:tcPr>
                      <w:tcW w:type="dxa" w:w="680"/>
                      <w:tcBorders>
                        <w:top w:val="none" w:color="FFFFFF" w:sz="0"/>
                        <w:left w:val="none" w:color="FFFFFF" w:sz="0"/>
                        <w:bottom w:val="none" w:color="FFFFFF" w:sz="0"/>
                        <w:right w:val="none" w:color="FFFFFF" w:sz="0"/>
                      </w:tcBorders>
                      <w:tcMar>
                        <w:top w:type="dxa" w:w="0"/>
                        <w:left w:type="dxa" w:w="0"/>
                        <w:bottom w:type="dxa" w:w="0"/>
                        <w:right w:type="dxa" w:w="0"/>
                      </w:tcMar>
                      <w:vAlign w:val="center"/>
                    </w:tcPr>
                    <w:p>
                      <w:pPr>
                        <w:spacing w:after="0" w:line="240" w:lineRule="auto"/>
                      </w:pPr>
                      <w:r>
                        <w:drawing>
                          <wp:inline distT="0" distB="0" distL="0" distR="0">
                            <wp:extent cx="306000" cy="306000"/>
                            <wp:effectExtent t="0" r="0" b="0" l="0"/>
                            <wp:docPr id="1" name="" descr="" title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" cstate="none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6000" cy="3060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  <w:tc>
                    <w:tcPr>
                      <w:tcW w:type="dxa" w:w="3342"/>
                      <w:tcBorders>
                        <w:top w:val="none" w:color="FFFFFF" w:sz="0"/>
                        <w:left w:val="none" w:color="FFFFFF" w:sz="0"/>
                        <w:bottom w:val="none" w:color="FFFFFF" w:sz="0"/>
                        <w:right w:val="none" w:color="FFFFFF" w:sz="0"/>
                      </w:tcBorders>
                      <w:tcMar>
                        <w:top w:type="dxa" w:w="0"/>
                        <w:left w:type="dxa" w:w="0"/>
                        <w:bottom w:type="dxa" w:w="0"/>
                        <w:right w:type="dxa" w:w="0"/>
                      </w:tcMar>
                      <w:vAlign w:val="center"/>
                    </w:tcPr>
                    <w:p>
                      <w:pPr>
                        <w:spacing w:after="30"/>
                      </w:pPr>
                      <w:r>
                        <w:rPr>
                          <w:rFonts w:ascii="Poppins Medium" w:cs="Poppins Medium" w:eastAsia="Poppins Medium" w:hAnsi="Poppins Medium"/>
                          <w:color w:val="304859"/>
                          <w:spacing w:val="30"/>
                          <w:sz w:val="12"/>
                          <w:szCs w:val="12"/>
                        </w:rPr>
                        <w:t xml:space="preserve">ENVOYEZ CV ET LETTRE DE MOTIVATION</w:t>
                      </w:r>
                    </w:p>
                    <w:p>
                      <w:pPr>
                        <w:spacing w:after="0" w:line="240" w:lineRule="auto"/>
                      </w:pPr>
                      <w:r>
                        <w:rPr>
                          <w:rFonts w:ascii="Poppins SemiBold" w:cs="Poppins SemiBold" w:eastAsia="Poppins SemiBold" w:hAnsi="Poppins SemiBold"/>
                          <w:color w:val="304859"/>
                          <w:sz w:val="17"/>
                          <w:szCs w:val="17"/>
                        </w:rPr>
                        <w:t xml:space="preserve">recrutement@victimesetprejudices.fr</w:t>
                      </w:r>
                    </w:p>
                  </w:tc>
                </w:tr>
              </w:tbl>
              <w:p>
                <w:pPr>
                  <w:spacing w:after="0" w:before="0" w:line="17" w:lineRule="exact"/>
                </w:pPr>
              </w:p>
            </w:tc>
          </w:tr>
        </w:tbl>
        <w:p>
          <w:pPr>
            <w:spacing w:after="0" w:before="0" w:line="17" w:lineRule="exact"/>
          </w:pPr>
        </w:p>
      </w:tc>
    </w:tr>
  </w:tbl>
  <w:p>
    <w:pPr>
      <w:spacing w:after="0" w:before="0" w:line="340" w:lineRule="exact"/>
    </w:pPr>
  </w:p>
  <w:tbl>
    <w:tblPr>
      <w:tblW w:type="dxa" w:w="1009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624"/>
      <w:gridCol w:w="2513"/>
      <w:gridCol w:w="340"/>
      <w:gridCol w:w="624"/>
      <w:gridCol w:w="2513"/>
      <w:gridCol w:w="340"/>
      <w:gridCol w:w="624"/>
      <w:gridCol w:w="2514"/>
    </w:tblGrid>
    <w:tr>
      <w:trPr>
        <w:cantSplit/>
      </w:trPr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Lieu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Grenoble (38)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Le cabinet est implanté à Grenoble et à Annecy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Contrat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CDI · statut cadre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Avocat(e) salarié(e), forfait jours (218), association future</w:t>
          </w:r>
        </w:p>
      </w:tc>
      <w:tc>
        <w:tcPr>
          <w:tcW w:type="dxa" w:w="3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59" w:lineRule="auto"/>
          </w:pPr>
        </w:p>
      </w:tc>
      <w:tc>
        <w:tcPr>
          <w:tcW w:type="dxa" w:w="62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 w:lineRule="auto"/>
          </w:pPr>
          <w:r>
            <w:drawing>
              <wp:inline distT="0" distB="0" distL="0" distR="0">
                <wp:extent cx="288000" cy="288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8000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251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10" w:line="235" w:lineRule="auto"/>
          </w:pPr>
          <w:r>
            <w:rPr>
              <w:rFonts w:ascii="Poppins SemiBold" w:cs="Poppins SemiBold" w:eastAsia="Poppins SemiBold" w:hAnsi="Poppins SemiBold"/>
              <w:color w:val="FFFFFF"/>
              <w:sz w:val="17"/>
              <w:szCs w:val="17"/>
            </w:rPr>
            <w:t xml:space="preserve">Recrutement</w:t>
          </w:r>
        </w:p>
        <w:p>
          <w:pPr>
            <w:spacing w:after="30" w:line="235" w:lineRule="auto"/>
          </w:pPr>
          <w:r>
            <w:rPr>
              <w:rFonts w:ascii="Open Sans SemiBold" w:cs="Open Sans SemiBold" w:eastAsia="Open Sans SemiBold" w:hAnsi="Open Sans SemiBold"/>
              <w:color w:val="FCAF19"/>
              <w:sz w:val="15"/>
              <w:szCs w:val="15"/>
            </w:rPr>
            <w:t xml:space="preserve">4 étapes</w:t>
          </w:r>
        </w:p>
        <w:p>
          <w:pPr>
            <w:spacing w:after="0" w:line="245" w:lineRule="auto"/>
          </w:pPr>
          <w:r>
            <w:rPr>
              <w:rFonts w:ascii="Open Sans" w:cs="Open Sans" w:eastAsia="Open Sans" w:hAnsi="Open Sans"/>
              <w:color w:val="FAF0C7"/>
              <w:sz w:val="14"/>
              <w:szCs w:val="14"/>
            </w:rPr>
            <w:t xml:space="preserve">Un échange téléphonique, puis trois entretiens au cabinet</w:t>
          </w:r>
        </w:p>
      </w:tc>
    </w:tr>
  </w:tbl>
  <w:p>
    <w:pPr>
      <w:pBdr>
        <w:top w:val="single" w:color="5B7385" w:sz="4" w:space="6"/>
      </w:pBdr>
      <w:tabs>
        <w:tab w:val="right" w:pos="10092"/>
      </w:tabs>
      <w:spacing w:after="0" w:before="283" w:line="259" w:lineRule="auto"/>
    </w:pPr>
    <w:r>
      <w:drawing>
        <wp:anchor distT="0" distB="0" distL="0" distR="0" simplePos="0" allowOverlap="1" behindDoc="1" locked="1" layoutInCell="0" relativeHeight="100000000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5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FAF0C7"/>
        <w:sz w:val="13"/>
        <w:szCs w:val="13"/>
      </w:rPr>
      <w:t xml:space="preserve">Offre d’emploi · Victimes &amp; Préjudices Avocats · victimesetprejudices.fr</w:t>
    </w:r>
    <w:r>
      <w:rPr>
        <w:rFonts w:ascii="Poppins Medium" w:cs="Poppins Medium" w:eastAsia="Poppins Medium" w:hAnsi="Poppins Medium"/>
        <w:color w:val="FAF0C7"/>
        <w:sz w:val="13"/>
        <w:szCs w:val="13"/>
      </w:rPr>
      <w:t xml:space="preserve">	2 /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  <w:spacing w:after="0" w:line="259" w:lineRule="auto"/>
    </w:pPr>
    <w:r>
      <w:drawing>
        <wp:anchor distT="0" distB="0" distL="0" distR="0" simplePos="0" allowOverlap="1" behindDoc="1" locked="1" layoutInCell="0" relativeHeight="100000000">
          <wp:simplePos x="0" y="0"/>
          <wp:positionH relativeFrom="page">
            <wp:posOffset>0</wp:posOffset>
          </wp:positionH>
          <wp:positionV relativeFrom="page">
            <wp:posOffset>10612800</wp:posOffset>
          </wp:positionV>
          <wp:extent cx="7560000" cy="79258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792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Open Sans" w:cs="Open Sans" w:eastAsia="Open Sans" w:hAnsi="Open Sans"/>
        <w:color w:val="3F4A52"/>
        <w:sz w:val="13"/>
        <w:szCs w:val="13"/>
      </w:rPr>
      <w:t xml:space="preserve">Offre d’emploi · Victimes &amp; Préjudices Avocats · recrutement@victimesetprejudices.fr</w:t>
    </w:r>
    <w:r>
      <w:rPr>
        <w:rFonts w:ascii="Poppins Medium" w:cs="Poppins Medium" w:eastAsia="Poppins Medium" w:hAnsi="Poppins Medium"/>
        <w:color w:val="3F4A52"/>
        <w:sz w:val="13"/>
        <w:szCs w:val="13"/>
      </w:rPr>
      <w:t xml:space="preserve">	1 / 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54"/>
    </w:pPr>
    <w:r>
      <w:drawing>
        <wp:anchor distT="0" distB="0" distL="0" distR="0" simplePos="0" allowOverlap="1" behindDoc="1" locked="1" layoutInCell="0" relativeHeight="53956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53956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5395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Poppins Medium" w:cs="Poppins Medium" w:eastAsia="Poppins Medium" w:hAnsi="Poppins Medium"/>
        <w:color w:val="FFFFFF"/>
        <w:spacing w:val="30"/>
        <w:sz w:val="13"/>
        <w:szCs w:val="13"/>
      </w:rPr>
      <w:t xml:space="preserve">AVOCAT(E) SALARIÉ(E)  ·  OFFRE D’EMPLOI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59" w:lineRule="auto"/>
    </w:pPr>
    <w:r>
      <w:drawing>
        <wp:anchor distT="0" distB="0" distL="0" distR="0" simplePos="0" allowOverlap="1" behindDoc="1" locked="1" layoutInCell="0" relativeHeight="370988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3709887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37098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250" w:hanging="250"/>
      </w:pPr>
      <w:rPr>
        <w:color w:val="B52026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26262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6cb6b914bcb982f0043e35fc3095ceab57edf2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7931de4c48c6b805606152dedb50d0a6f328fa3.png"/><Relationship Id="rId1" Type="http://schemas.openxmlformats.org/officeDocument/2006/relationships/image" Target="media/a65c5f1bc09985314dbfef8cea427ba9fe598dfa.png"/><Relationship Id="rId2" Type="http://schemas.openxmlformats.org/officeDocument/2006/relationships/image" Target="media/efb57b1bfaa5089994161c2040ca6dd62b03bd25.png"/><Relationship Id="rId3" Type="http://schemas.openxmlformats.org/officeDocument/2006/relationships/image" Target="media/6e0609eadf7baca9e5187779522ea9b5a361b414.png"/><Relationship Id="rId4" Type="http://schemas.openxmlformats.org/officeDocument/2006/relationships/image" Target="media/768807d960c101ccf59e69024bd7c04908449aa8.png"/><Relationship Id="rId5" Type="http://schemas.openxmlformats.org/officeDocument/2006/relationships/image" Target="media/670dfd48fadeeb10981a5c4620229fedd0e293aa.png"/></Relationships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670dfd48fadeeb10981a5c4620229fedd0e293aa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94719dce28b662567dc5d8b4690e84e371e51b8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1ffeaee98e5b6d48cc1a06e96e398f6e8c3c11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d'emploi – Avocat(e) salarié(e)</dc:title>
  <dc:creator>Victimes &amp; Préjudices Avocats</dc:creator>
  <cp:lastModifiedBy>Un-named</cp:lastModifiedBy>
  <cp:revision>1</cp:revision>
  <dcterms:created xsi:type="dcterms:W3CDTF">2026-09-29T07:13:41.331Z</dcterms:created>
  <dcterms:modified xsi:type="dcterms:W3CDTF">2026-09-29T07:13:41.332Z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