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3"/>
      </w:pPr>
      <w:r>
        <w:drawing>
          <wp:inline distT="0" distB="0" distL="0" distR="0">
            <wp:extent cx="1152000" cy="55589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55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Poppins Medium" w:cs="Poppins Medium" w:eastAsia="Poppins Medium" w:hAnsi="Poppins Medium"/>
          <w:color w:val="FCAF19"/>
          <w:spacing w:val="30"/>
          <w:sz w:val="15"/>
          <w:szCs w:val="15"/>
        </w:rPr>
        <w:t xml:space="preserve">OFFRE D’EMPLOI  ·  CDI</w:t>
      </w:r>
    </w:p>
    <w:p>
      <w:pPr>
        <w:spacing w:after="110" w:line="240" w:lineRule="auto"/>
      </w:pPr>
      <w:r>
        <w:rPr>
          <w:rFonts w:ascii="Poppins SemiBold" w:cs="Poppins SemiBold" w:eastAsia="Poppins SemiBold" w:hAnsi="Poppins SemiBold"/>
          <w:color w:val="FFFFFF"/>
          <w:sz w:val="58"/>
          <w:szCs w:val="58"/>
        </w:rPr>
        <w:t xml:space="preserve">Avocat(e) </w:t>
      </w:r>
      <w:r>
        <w:rPr>
          <w:rFonts w:ascii="Poppins SemiBold" w:cs="Poppins SemiBold" w:eastAsia="Poppins SemiBold" w:hAnsi="Poppins SemiBold"/>
          <w:color w:val="FCAF19"/>
          <w:sz w:val="58"/>
          <w:szCs w:val="58"/>
        </w:rPr>
        <w:t xml:space="preserve">salarié(e)</w:t>
      </w:r>
    </w:p>
    <w:p>
      <w:pPr>
        <w:spacing w:after="100" w:line="280" w:lineRule="auto"/>
        <w:ind w:right="2948"/>
      </w:pPr>
      <w:r>
        <w:rPr>
          <w:rFonts w:ascii="Open Sans" w:cs="Open Sans" w:eastAsia="Open Sans" w:hAnsi="Open Sans"/>
          <w:color w:val="FFFFFF"/>
          <w:sz w:val="20"/>
          <w:szCs w:val="20"/>
        </w:rPr>
        <w:t xml:space="preserve">Nous recherchons aujourd’hui un(e) avocat(e) démontrant un fort leadership et une capacité à prendre à terme le relais dans l’animation du cabinet.</w:t>
      </w:r>
    </w:p>
    <w:p>
      <w:pPr>
        <w:pBdr>
          <w:left w:val="single" w:color="FCAF19" w:sz="24" w:space="8"/>
        </w:pBdr>
        <w:spacing w:after="140" w:line="255" w:lineRule="auto"/>
        <w:ind w:left="198" w:right="2948"/>
      </w:pPr>
      <w:r>
        <w:rPr>
          <w:rFonts w:ascii="Poppins SemiBold" w:cs="Poppins SemiBold" w:eastAsia="Poppins SemiBold" w:hAnsi="Poppins SemiBold"/>
          <w:color w:val="FCAF19"/>
          <w:sz w:val="24"/>
          <w:szCs w:val="24"/>
        </w:rPr>
        <w:t xml:space="preserve">Ce poste est créé dans une perspective rapide d’association.</w:t>
      </w:r>
    </w:p>
    <w:p>
      <w:pPr>
        <w:spacing w:after="0" w:line="259" w:lineRule="auto"/>
      </w:pPr>
      <w:r>
        <w:rPr>
          <w:rFonts w:ascii="Poppins Medium" w:cs="Poppins Medium" w:eastAsia="Poppins Medium" w:hAnsi="Poppins Medium"/>
          <w:color w:val="FAF0C7"/>
          <w:spacing w:val="30"/>
          <w:sz w:val="13"/>
          <w:szCs w:val="13"/>
        </w:rPr>
        <w:t xml:space="preserve">GRENOBLE (38)</w:t>
      </w:r>
      <w:r>
        <w:rPr>
          <w:rFonts w:ascii="Poppins Medium" w:cs="Poppins Medium" w:eastAsia="Poppins Medium" w:hAnsi="Poppins Medium"/>
          <w:color w:val="FAF0C7"/>
          <w:spacing w:val="30"/>
          <w:sz w:val="13"/>
          <w:szCs w:val="13"/>
        </w:rPr>
        <w:t xml:space="preserve">   ·   CDI   ·   STATUT CADRE   ·   </w:t>
      </w:r>
      <w:r>
        <w:rPr>
          <w:rFonts w:ascii="Poppins Medium" w:cs="Poppins Medium" w:eastAsia="Poppins Medium" w:hAnsi="Poppins Medium"/>
          <w:color w:val="FCAF19"/>
          <w:spacing w:val="30"/>
          <w:sz w:val="13"/>
          <w:szCs w:val="13"/>
        </w:rPr>
        <w:t xml:space="preserve">PERSPECTIVE D’ASSOCIATION</w:t>
      </w:r>
    </w:p>
    <w:p>
      <w:pPr>
        <w:spacing w:after="0" w:before="0" w:line="850" w:lineRule="exact"/>
      </w:pPr>
    </w:p>
    <w:p>
      <w:pPr>
        <w:spacing w:after="0" w:line="40" w:lineRule="exact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41"/>
        <w:gridCol w:w="340"/>
        <w:gridCol w:w="7711"/>
      </w:tblGrid>
      <w:tr>
        <w:trPr>
          <w:cantSplit/>
        </w:trPr>
        <w:tc>
          <w:tcPr>
            <w:tcW w:type="dxa" w:w="20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Poppins SemiBold" w:cs="Poppins SemiBold" w:eastAsia="Poppins SemiBold" w:hAnsi="Poppins SemiBold"/>
                <w:color w:val="B52026"/>
                <w:sz w:val="52"/>
                <w:szCs w:val="52"/>
              </w:rPr>
              <w:t xml:space="preserve">01</w:t>
            </w:r>
          </w:p>
          <w:p>
            <w:pPr>
              <w:spacing w:after="70" w:line="245" w:lineRule="auto"/>
            </w:pPr>
            <w:r>
              <w:rPr>
                <w:rFonts w:ascii="Poppins SemiBold" w:cs="Poppins SemiBold" w:eastAsia="Poppins SemiBold" w:hAnsi="Poppins SemiBold"/>
                <w:color w:val="304859"/>
                <w:sz w:val="18"/>
                <w:szCs w:val="18"/>
              </w:rPr>
              <w:t xml:space="preserve">« Défendre les victimes n’est pas seulement un métier. C’est d’abord notre engagement. »</w:t>
            </w:r>
          </w:p>
          <w:p>
            <w:pPr>
              <w:spacing w:after="0"/>
            </w:pPr>
            <w:r>
              <w:rPr>
                <w:rFonts w:ascii="Open Sans" w:cs="Open Sans" w:eastAsia="Open Sans" w:hAnsi="Open Sans"/>
                <w:color w:val="3F4A52"/>
                <w:sz w:val="14"/>
                <w:szCs w:val="14"/>
              </w:rPr>
              <w:t xml:space="preserve">Hervé Gerbi, avocat fondateur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59" w:lineRule="auto"/>
            </w:pPr>
          </w:p>
        </w:tc>
        <w:tc>
          <w:tcPr>
            <w:tcW w:type="dxa" w:w="77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40"/>
            </w:pPr>
            <w:r>
              <w:rPr>
                <w:rFonts w:ascii="Poppins Medium" w:cs="Poppins Medium" w:eastAsia="Poppins Medium" w:hAnsi="Poppins Medium"/>
                <w:color w:val="B52026"/>
                <w:spacing w:val="30"/>
                <w:sz w:val="13"/>
                <w:szCs w:val="13"/>
              </w:rPr>
              <w:t xml:space="preserve">LE CABINET ET LE CONTEXTE</w:t>
            </w:r>
          </w:p>
          <w:p>
            <w:pPr>
              <w:spacing w:after="110" w:line="240" w:lineRule="auto"/>
            </w:pPr>
            <w:r>
              <w:rPr>
                <w:rFonts w:ascii="Poppins SemiBold" w:cs="Poppins SemiBold" w:eastAsia="Poppins SemiBold" w:hAnsi="Poppins SemiBold"/>
                <w:color w:val="304859"/>
                <w:sz w:val="33"/>
                <w:szCs w:val="33"/>
              </w:rPr>
              <w:t xml:space="preserve">Un cabinet dédié aux victimes</w:t>
            </w:r>
          </w:p>
          <w:p>
            <w:pPr>
              <w:spacing w:after="0" w:line="276" w:lineRule="auto"/>
              <w:jc w:val="both"/>
            </w:pPr>
            <w:r>
              <w:rPr>
                <w:rFonts w:ascii="Open Sans SemiBold" w:cs="Open Sans SemiBold" w:eastAsia="Open Sans SemiBold" w:hAnsi="Open Sans SemiBold"/>
                <w:color w:val="262626"/>
                <w:sz w:val="18"/>
                <w:szCs w:val="18"/>
              </w:rPr>
              <w:t xml:space="preserve">Victimes &amp; Préjudices Avocats</w:t>
            </w:r>
            <w:r>
              <w:rPr>
                <w:rFonts w:ascii="Open Sans" w:cs="Open Sans" w:eastAsia="Open Sans" w:hAnsi="Open Sans"/>
                <w:color w:val="262626"/>
                <w:sz w:val="18"/>
                <w:szCs w:val="18"/>
              </w:rPr>
              <w:t xml:space="preserve"> est un cabinet grenoblois et annecien </w:t>
            </w:r>
            <w:r>
              <w:rPr>
                <w:rFonts w:ascii="Open Sans SemiBold" w:cs="Open Sans SemiBold" w:eastAsia="Open Sans SemiBold" w:hAnsi="Open Sans SemiBold"/>
                <w:color w:val="262626"/>
                <w:sz w:val="18"/>
                <w:szCs w:val="18"/>
              </w:rPr>
              <w:t xml:space="preserve">exclusivement dédié à la défense des victimes</w:t>
            </w:r>
            <w:r>
              <w:rPr>
                <w:rFonts w:ascii="Open Sans" w:cs="Open Sans" w:eastAsia="Open Sans" w:hAnsi="Open Sans"/>
                <w:color w:val="262626"/>
                <w:sz w:val="18"/>
                <w:szCs w:val="18"/>
              </w:rPr>
              <w:t xml:space="preserve"> : accidents de la route, responsabilité médicale, accidents corporels et maladies du travail, accidents de la vie, droit pénal des victimes. Nous accompagnons chaque jour les victimes et leurs familles </w:t>
            </w:r>
            <w:r>
              <w:rPr>
                <w:rFonts w:ascii="Open Sans SemiBold" w:cs="Open Sans SemiBold" w:eastAsia="Open Sans SemiBold" w:hAnsi="Open Sans SemiBold"/>
                <w:color w:val="262626"/>
                <w:sz w:val="18"/>
                <w:szCs w:val="18"/>
              </w:rPr>
              <w:t xml:space="preserve">jusqu’à leur complète indemnisation</w:t>
            </w:r>
            <w:r>
              <w:rPr>
                <w:rFonts w:ascii="Open Sans" w:cs="Open Sans" w:eastAsia="Open Sans" w:hAnsi="Open Sans"/>
                <w:color w:val="262626"/>
                <w:sz w:val="18"/>
                <w:szCs w:val="18"/>
              </w:rPr>
              <w:t xml:space="preserve">.</w:t>
            </w:r>
          </w:p>
        </w:tc>
      </w:tr>
    </w:tbl>
    <w:p>
      <w:pPr>
        <w:pBdr>
          <w:bottom w:val="single" w:color="D3D9DE" w:sz="6" w:space="1"/>
        </w:pBdr>
        <w:spacing w:after="283" w:before="227"/>
      </w:pPr>
    </w:p>
    <w:p>
      <w:pPr>
        <w:spacing w:after="0" w:line="40" w:lineRule="exact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41"/>
        <w:gridCol w:w="340"/>
        <w:gridCol w:w="7711"/>
      </w:tblGrid>
      <w:tr>
        <w:trPr>
          <w:cantSplit/>
        </w:trPr>
        <w:tc>
          <w:tcPr>
            <w:tcW w:type="dxa" w:w="20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Poppins SemiBold" w:cs="Poppins SemiBold" w:eastAsia="Poppins SemiBold" w:hAnsi="Poppins SemiBold"/>
                <w:color w:val="B52026"/>
                <w:sz w:val="52"/>
                <w:szCs w:val="52"/>
              </w:rPr>
              <w:t xml:space="preserve">02</w:t>
            </w:r>
          </w:p>
          <w:p>
            <w:pPr>
              <w:spacing w:after="0" w:line="250" w:lineRule="auto"/>
              <w:ind w:right="113"/>
            </w:pPr>
            <w:r>
              <w:rPr>
                <w:rFonts w:ascii="Poppins SemiBold" w:cs="Poppins SemiBold" w:eastAsia="Poppins SemiBold" w:hAnsi="Poppins SemiBold"/>
                <w:color w:val="304859"/>
                <w:sz w:val="21"/>
                <w:szCs w:val="21"/>
              </w:rPr>
              <w:t xml:space="preserve">Prêt(e) à relever de nouveaux défis ?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59" w:lineRule="auto"/>
            </w:pPr>
          </w:p>
        </w:tc>
        <w:tc>
          <w:tcPr>
            <w:tcW w:type="dxa" w:w="77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40"/>
            </w:pPr>
            <w:r>
              <w:rPr>
                <w:rFonts w:ascii="Poppins Medium" w:cs="Poppins Medium" w:eastAsia="Poppins Medium" w:hAnsi="Poppins Medium"/>
                <w:color w:val="B52026"/>
                <w:spacing w:val="30"/>
                <w:sz w:val="13"/>
                <w:szCs w:val="13"/>
              </w:rPr>
              <w:t xml:space="preserve">VOS MISSIONS</w:t>
            </w:r>
          </w:p>
          <w:p>
            <w:pPr>
              <w:spacing w:after="110" w:line="240" w:lineRule="auto"/>
            </w:pPr>
            <w:r>
              <w:rPr>
                <w:rFonts w:ascii="Poppins SemiBold" w:cs="Poppins SemiBold" w:eastAsia="Poppins SemiBold" w:hAnsi="Poppins SemiBold"/>
                <w:color w:val="304859"/>
                <w:sz w:val="33"/>
                <w:szCs w:val="33"/>
              </w:rPr>
              <w:t xml:space="preserve">De la consultation à l’indemnisation</w:t>
            </w:r>
          </w:p>
          <w:tbl>
            <w:tblPr>
              <w:tblW w:type="dxa" w:w="771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742"/>
              <w:gridCol w:w="227"/>
              <w:gridCol w:w="3742"/>
            </w:tblGrid>
            <w:tr>
              <w:trPr>
                <w:cantSplit/>
              </w:trPr>
              <w:tc>
                <w:tcPr>
                  <w:tcW w:type="dxa" w:w="3742"/>
                  <w:tcBorders>
                    <w:top w:val="single" w:color="D3D9DE" w:sz="4"/>
                    <w:left w:val="single" w:color="B52026" w:sz="24"/>
                    <w:bottom w:val="single" w:color="D3D9DE" w:sz="4"/>
                    <w:right w:val="single" w:color="D3D9DE" w:sz="4"/>
                  </w:tcBorders>
                  <w:tcMar>
                    <w:top w:type="dxa" w:w="90"/>
                    <w:left w:type="dxa" w:w="20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20" w:line="240" w:lineRule="auto"/>
                  </w:pPr>
                  <w:r>
                    <w:rPr>
                      <w:rFonts w:ascii="Poppins SemiBold" w:cs="Poppins SemiBold" w:eastAsia="Poppins SemiBold" w:hAnsi="Poppins SemiBold"/>
                      <w:color w:val="304859"/>
                      <w:sz w:val="21"/>
                      <w:szCs w:val="21"/>
                    </w:rPr>
                    <w:t xml:space="preserve">Piloter</w:t>
                  </w:r>
                </w:p>
                <w:p>
                  <w:pPr>
                    <w:spacing w:after="0" w:line="245" w:lineRule="auto"/>
                  </w:pPr>
                  <w:r>
                    <w:rPr>
                      <w:rFonts w:ascii="Open Sans" w:cs="Open Sans" w:eastAsia="Open Sans" w:hAnsi="Open Sans"/>
                      <w:color w:val="3F4A52"/>
                      <w:sz w:val="15"/>
                      <w:szCs w:val="15"/>
                    </w:rPr>
                    <w:t xml:space="preserve">un portefeuille de dossiers jusqu’à l’indemnisation définitive</w:t>
                  </w:r>
                </w:p>
              </w:tc>
              <w:tc>
                <w:tcPr>
                  <w:tcW w:type="dxa" w:w="22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line="259" w:lineRule="auto"/>
                  </w:pPr>
                </w:p>
              </w:tc>
              <w:tc>
                <w:tcPr>
                  <w:tcW w:type="dxa" w:w="3742"/>
                  <w:tcBorders>
                    <w:top w:val="single" w:color="D3D9DE" w:sz="4"/>
                    <w:left w:val="single" w:color="B52026" w:sz="24"/>
                    <w:bottom w:val="single" w:color="D3D9DE" w:sz="4"/>
                    <w:right w:val="single" w:color="D3D9DE" w:sz="4"/>
                  </w:tcBorders>
                  <w:tcMar>
                    <w:top w:type="dxa" w:w="90"/>
                    <w:left w:type="dxa" w:w="20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20" w:line="240" w:lineRule="auto"/>
                  </w:pPr>
                  <w:r>
                    <w:rPr>
                      <w:rFonts w:ascii="Poppins SemiBold" w:cs="Poppins SemiBold" w:eastAsia="Poppins SemiBold" w:hAnsi="Poppins SemiBold"/>
                      <w:color w:val="304859"/>
                      <w:sz w:val="21"/>
                      <w:szCs w:val="21"/>
                    </w:rPr>
                    <w:t xml:space="preserve">Construire</w:t>
                  </w:r>
                </w:p>
                <w:p>
                  <w:pPr>
                    <w:spacing w:after="0" w:line="245" w:lineRule="auto"/>
                  </w:pPr>
                  <w:r>
                    <w:rPr>
                      <w:rFonts w:ascii="Open Sans" w:cs="Open Sans" w:eastAsia="Open Sans" w:hAnsi="Open Sans"/>
                      <w:color w:val="3F4A52"/>
                      <w:sz w:val="15"/>
                      <w:szCs w:val="15"/>
                    </w:rPr>
                    <w:t xml:space="preserve">des stratégies d’indemnisation sur mesure : analyse des pièces médicales et juridiques, évaluation et chiffrage des préjudices</w:t>
                  </w:r>
                </w:p>
              </w:tc>
            </w:tr>
          </w:tbl>
          <w:p>
            <w:pPr>
              <w:spacing w:after="0" w:before="0" w:line="142" w:lineRule="exact"/>
            </w:pPr>
          </w:p>
          <w:tbl>
            <w:tblPr>
              <w:tblW w:type="dxa" w:w="771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742"/>
              <w:gridCol w:w="227"/>
              <w:gridCol w:w="3742"/>
            </w:tblGrid>
            <w:tr>
              <w:trPr>
                <w:cantSplit/>
              </w:trPr>
              <w:tc>
                <w:tcPr>
                  <w:tcW w:type="dxa" w:w="3742"/>
                  <w:tcBorders>
                    <w:top w:val="single" w:color="D3D9DE" w:sz="4"/>
                    <w:left w:val="single" w:color="B52026" w:sz="24"/>
                    <w:bottom w:val="single" w:color="D3D9DE" w:sz="4"/>
                    <w:right w:val="single" w:color="D3D9DE" w:sz="4"/>
                  </w:tcBorders>
                  <w:tcMar>
                    <w:top w:type="dxa" w:w="90"/>
                    <w:left w:type="dxa" w:w="20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20" w:line="240" w:lineRule="auto"/>
                  </w:pPr>
                  <w:r>
                    <w:rPr>
                      <w:rFonts w:ascii="Poppins SemiBold" w:cs="Poppins SemiBold" w:eastAsia="Poppins SemiBold" w:hAnsi="Poppins SemiBold"/>
                      <w:color w:val="304859"/>
                      <w:sz w:val="21"/>
                      <w:szCs w:val="21"/>
                    </w:rPr>
                    <w:t xml:space="preserve">Rédiger</w:t>
                  </w:r>
                </w:p>
                <w:p>
                  <w:pPr>
                    <w:spacing w:after="0" w:line="245" w:lineRule="auto"/>
                  </w:pPr>
                  <w:r>
                    <w:rPr>
                      <w:rFonts w:ascii="Open Sans" w:cs="Open Sans" w:eastAsia="Open Sans" w:hAnsi="Open Sans"/>
                      <w:color w:val="3F4A52"/>
                      <w:sz w:val="15"/>
                      <w:szCs w:val="15"/>
                    </w:rPr>
                    <w:t xml:space="preserve">les actes : assignations, conclusions, consultations, notes de synthèse</w:t>
                  </w:r>
                </w:p>
              </w:tc>
              <w:tc>
                <w:tcPr>
                  <w:tcW w:type="dxa" w:w="22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line="259" w:lineRule="auto"/>
                  </w:pPr>
                </w:p>
              </w:tc>
              <w:tc>
                <w:tcPr>
                  <w:tcW w:type="dxa" w:w="3742"/>
                  <w:tcBorders>
                    <w:top w:val="single" w:color="D3D9DE" w:sz="4"/>
                    <w:left w:val="single" w:color="B52026" w:sz="24"/>
                    <w:bottom w:val="single" w:color="D3D9DE" w:sz="4"/>
                    <w:right w:val="single" w:color="D3D9DE" w:sz="4"/>
                  </w:tcBorders>
                  <w:tcMar>
                    <w:top w:type="dxa" w:w="90"/>
                    <w:left w:type="dxa" w:w="20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20" w:line="240" w:lineRule="auto"/>
                  </w:pPr>
                  <w:r>
                    <w:rPr>
                      <w:rFonts w:ascii="Poppins SemiBold" w:cs="Poppins SemiBold" w:eastAsia="Poppins SemiBold" w:hAnsi="Poppins SemiBold"/>
                      <w:color w:val="304859"/>
                      <w:sz w:val="21"/>
                      <w:szCs w:val="21"/>
                    </w:rPr>
                    <w:t xml:space="preserve">Préparer et conduire</w:t>
                  </w:r>
                </w:p>
                <w:p>
                  <w:pPr>
                    <w:spacing w:after="0" w:line="245" w:lineRule="auto"/>
                  </w:pPr>
                  <w:r>
                    <w:rPr>
                      <w:rFonts w:ascii="Open Sans" w:cs="Open Sans" w:eastAsia="Open Sans" w:hAnsi="Open Sans"/>
                      <w:color w:val="3F4A52"/>
                      <w:sz w:val="15"/>
                      <w:szCs w:val="15"/>
                    </w:rPr>
                    <w:t xml:space="preserve">les expertises médicales amiables et judiciaires, en lien étroit avec les médecins de recours et les autres experts</w:t>
                  </w:r>
                </w:p>
              </w:tc>
            </w:tr>
          </w:tbl>
          <w:p>
            <w:pPr>
              <w:spacing w:after="0" w:before="0" w:line="142" w:lineRule="exact"/>
            </w:pPr>
          </w:p>
          <w:tbl>
            <w:tblPr>
              <w:tblW w:type="dxa" w:w="771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742"/>
              <w:gridCol w:w="227"/>
              <w:gridCol w:w="3742"/>
            </w:tblGrid>
            <w:tr>
              <w:trPr>
                <w:cantSplit/>
              </w:trPr>
              <w:tc>
                <w:tcPr>
                  <w:tcW w:type="dxa" w:w="3742"/>
                  <w:tcBorders>
                    <w:top w:val="single" w:color="D3D9DE" w:sz="4"/>
                    <w:left w:val="single" w:color="B52026" w:sz="24"/>
                    <w:bottom w:val="single" w:color="D3D9DE" w:sz="4"/>
                    <w:right w:val="single" w:color="D3D9DE" w:sz="4"/>
                  </w:tcBorders>
                  <w:tcMar>
                    <w:top w:type="dxa" w:w="90"/>
                    <w:left w:type="dxa" w:w="20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20" w:line="240" w:lineRule="auto"/>
                  </w:pPr>
                  <w:r>
                    <w:rPr>
                      <w:rFonts w:ascii="Poppins SemiBold" w:cs="Poppins SemiBold" w:eastAsia="Poppins SemiBold" w:hAnsi="Poppins SemiBold"/>
                      <w:color w:val="304859"/>
                      <w:sz w:val="21"/>
                      <w:szCs w:val="21"/>
                    </w:rPr>
                    <w:t xml:space="preserve">Plaider</w:t>
                  </w:r>
                </w:p>
                <w:p>
                  <w:pPr>
                    <w:spacing w:after="0" w:line="245" w:lineRule="auto"/>
                  </w:pPr>
                  <w:r>
                    <w:rPr>
                      <w:rFonts w:ascii="Open Sans" w:cs="Open Sans" w:eastAsia="Open Sans" w:hAnsi="Open Sans"/>
                      <w:color w:val="3F4A52"/>
                      <w:sz w:val="15"/>
                      <w:szCs w:val="15"/>
                    </w:rPr>
                    <w:t xml:space="preserve">devant les juridictions civiles, administratives et pénales</w:t>
                  </w:r>
                </w:p>
              </w:tc>
              <w:tc>
                <w:tcPr>
                  <w:tcW w:type="dxa" w:w="22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line="259" w:lineRule="auto"/>
                  </w:pPr>
                </w:p>
              </w:tc>
              <w:tc>
                <w:tcPr>
                  <w:tcW w:type="dxa" w:w="3742"/>
                  <w:tcBorders>
                    <w:top w:val="single" w:color="D3D9DE" w:sz="4"/>
                    <w:left w:val="single" w:color="B52026" w:sz="24"/>
                    <w:bottom w:val="single" w:color="D3D9DE" w:sz="4"/>
                    <w:right w:val="single" w:color="D3D9DE" w:sz="4"/>
                  </w:tcBorders>
                  <w:tcMar>
                    <w:top w:type="dxa" w:w="90"/>
                    <w:left w:type="dxa" w:w="20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20" w:line="240" w:lineRule="auto"/>
                  </w:pPr>
                  <w:r>
                    <w:rPr>
                      <w:rFonts w:ascii="Poppins SemiBold" w:cs="Poppins SemiBold" w:eastAsia="Poppins SemiBold" w:hAnsi="Poppins SemiBold"/>
                      <w:color w:val="304859"/>
                      <w:sz w:val="21"/>
                      <w:szCs w:val="21"/>
                    </w:rPr>
                    <w:t xml:space="preserve">Porter la relation client</w:t>
                  </w:r>
                </w:p>
                <w:p>
                  <w:pPr>
                    <w:spacing w:after="0" w:line="245" w:lineRule="auto"/>
                  </w:pPr>
                  <w:r>
                    <w:rPr>
                      <w:rFonts w:ascii="Open Sans" w:cs="Open Sans" w:eastAsia="Open Sans" w:hAnsi="Open Sans"/>
                      <w:color w:val="3F4A52"/>
                      <w:sz w:val="15"/>
                      <w:szCs w:val="15"/>
                    </w:rPr>
                    <w:t xml:space="preserve">accompagner les victimes et leurs proches à chaque étape, en interlocuteur ou interlocutrice de référence</w:t>
                  </w:r>
                </w:p>
              </w:tc>
            </w:tr>
          </w:tbl>
          <w:p>
            <w:pPr>
              <w:spacing w:after="0" w:before="0" w:line="142" w:lineRule="exact"/>
            </w:pPr>
          </w:p>
          <w:tbl>
            <w:tblPr>
              <w:tblW w:type="dxa" w:w="771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742"/>
              <w:gridCol w:w="227"/>
              <w:gridCol w:w="3742"/>
            </w:tblGrid>
            <w:tr>
              <w:trPr>
                <w:cantSplit/>
              </w:trPr>
              <w:tc>
                <w:tcPr>
                  <w:tcW w:type="dxa" w:w="3742"/>
                  <w:tcBorders>
                    <w:top w:val="single" w:color="D3D9DE" w:sz="4"/>
                    <w:left w:val="single" w:color="B52026" w:sz="24"/>
                    <w:bottom w:val="single" w:color="D3D9DE" w:sz="4"/>
                    <w:right w:val="single" w:color="D3D9DE" w:sz="4"/>
                  </w:tcBorders>
                  <w:tcMar>
                    <w:top w:type="dxa" w:w="90"/>
                    <w:left w:type="dxa" w:w="20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20" w:line="240" w:lineRule="auto"/>
                  </w:pPr>
                  <w:r>
                    <w:rPr>
                      <w:rFonts w:ascii="Poppins SemiBold" w:cs="Poppins SemiBold" w:eastAsia="Poppins SemiBold" w:hAnsi="Poppins SemiBold"/>
                      <w:color w:val="304859"/>
                      <w:sz w:val="21"/>
                      <w:szCs w:val="21"/>
                    </w:rPr>
                    <w:t xml:space="preserve">Développer</w:t>
                  </w:r>
                </w:p>
                <w:p>
                  <w:pPr>
                    <w:spacing w:after="0" w:line="245" w:lineRule="auto"/>
                  </w:pPr>
                  <w:r>
                    <w:rPr>
                      <w:rFonts w:ascii="Open Sans" w:cs="Open Sans" w:eastAsia="Open Sans" w:hAnsi="Open Sans"/>
                      <w:color w:val="3F4A52"/>
                      <w:sz w:val="15"/>
                      <w:szCs w:val="15"/>
                    </w:rPr>
                    <w:t xml:space="preserve">les relations avec les prescripteurs, la visibilité, les relations presse et de nouveaux axes de pratique</w:t>
                  </w:r>
                </w:p>
              </w:tc>
              <w:tc>
                <w:tcPr>
                  <w:tcW w:type="dxa" w:w="22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line="259" w:lineRule="auto"/>
                  </w:pPr>
                </w:p>
              </w:tc>
              <w:tc>
                <w:tcPr>
                  <w:tcW w:type="dxa" w:w="3742"/>
                  <w:tcBorders>
                    <w:top w:val="single" w:color="D3D9DE" w:sz="4"/>
                    <w:left w:val="single" w:color="B52026" w:sz="24"/>
                    <w:bottom w:val="single" w:color="D3D9DE" w:sz="4"/>
                    <w:right w:val="single" w:color="D3D9DE" w:sz="4"/>
                  </w:tcBorders>
                  <w:tcMar>
                    <w:top w:type="dxa" w:w="90"/>
                    <w:left w:type="dxa" w:w="20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20" w:line="240" w:lineRule="auto"/>
                  </w:pPr>
                  <w:r>
                    <w:rPr>
                      <w:rFonts w:ascii="Poppins SemiBold" w:cs="Poppins SemiBold" w:eastAsia="Poppins SemiBold" w:hAnsi="Poppins SemiBold"/>
                      <w:color w:val="304859"/>
                      <w:sz w:val="21"/>
                      <w:szCs w:val="21"/>
                    </w:rPr>
                    <w:t xml:space="preserve">Faire évoluer</w:t>
                  </w:r>
                </w:p>
                <w:p>
                  <w:pPr>
                    <w:spacing w:after="0" w:line="245" w:lineRule="auto"/>
                  </w:pPr>
                  <w:r>
                    <w:rPr>
                      <w:rFonts w:ascii="Open Sans" w:cs="Open Sans" w:eastAsia="Open Sans" w:hAnsi="Open Sans"/>
                      <w:color w:val="3F4A52"/>
                      <w:sz w:val="15"/>
                      <w:szCs w:val="15"/>
                    </w:rPr>
                    <w:t xml:space="preserve">nos méthodes : structuration des process, outils numériques, intelligence artificielle, montée en compétence de l’équipe</w:t>
                  </w:r>
                </w:p>
              </w:tc>
            </w:tr>
          </w:tbl>
          <w:p/>
        </w:tc>
      </w:tr>
    </w:tbl>
    <w:p>
      <w:pPr>
        <w:pageBreakBefore/>
        <w:spacing w:after="0" w:line="40" w:lineRule="exact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41"/>
        <w:gridCol w:w="340"/>
        <w:gridCol w:w="7711"/>
      </w:tblGrid>
      <w:tr>
        <w:trPr>
          <w:cantSplit/>
        </w:trPr>
        <w:tc>
          <w:tcPr>
            <w:tcW w:type="dxa" w:w="20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Poppins SemiBold" w:cs="Poppins SemiBold" w:eastAsia="Poppins SemiBold" w:hAnsi="Poppins SemiBold"/>
                <w:color w:val="B52026"/>
                <w:sz w:val="52"/>
                <w:szCs w:val="52"/>
              </w:rPr>
              <w:t xml:space="preserve">03</w:t>
            </w:r>
          </w:p>
          <w:p>
            <w:pPr>
              <w:spacing w:after="0" w:line="250" w:lineRule="auto"/>
              <w:ind w:right="113"/>
            </w:pPr>
            <w:r>
              <w:rPr>
                <w:rFonts w:ascii="Poppins SemiBold" w:cs="Poppins SemiBold" w:eastAsia="Poppins SemiBold" w:hAnsi="Poppins SemiBold"/>
                <w:color w:val="304859"/>
                <w:sz w:val="21"/>
                <w:szCs w:val="21"/>
              </w:rPr>
              <w:t xml:space="preserve">Vous vous projetez dans un projet d’association ?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59" w:lineRule="auto"/>
            </w:pPr>
          </w:p>
        </w:tc>
        <w:tc>
          <w:tcPr>
            <w:tcW w:type="dxa" w:w="77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40"/>
            </w:pPr>
            <w:r>
              <w:rPr>
                <w:rFonts w:ascii="Poppins Medium" w:cs="Poppins Medium" w:eastAsia="Poppins Medium" w:hAnsi="Poppins Medium"/>
                <w:color w:val="B52026"/>
                <w:spacing w:val="30"/>
                <w:sz w:val="13"/>
                <w:szCs w:val="13"/>
              </w:rPr>
              <w:t xml:space="preserve">PROFIL RECHERCHÉ</w:t>
            </w:r>
          </w:p>
          <w:p>
            <w:pPr>
              <w:spacing w:after="110" w:line="240" w:lineRule="auto"/>
            </w:pPr>
            <w:r>
              <w:rPr>
                <w:rFonts w:ascii="Poppins SemiBold" w:cs="Poppins SemiBold" w:eastAsia="Poppins SemiBold" w:hAnsi="Poppins SemiBold"/>
                <w:color w:val="304859"/>
                <w:sz w:val="33"/>
                <w:szCs w:val="33"/>
              </w:rPr>
              <w:t xml:space="preserve">Formation et expérience</w:t>
            </w:r>
          </w:p>
          <w:tbl>
            <w:tblPr>
              <w:tblW w:type="dxa" w:w="771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19"/>
              <w:gridCol w:w="227"/>
              <w:gridCol w:w="2419"/>
              <w:gridCol w:w="227"/>
              <w:gridCol w:w="2419"/>
            </w:tblGrid>
            <w:tr>
              <w:trPr>
                <w:cantSplit/>
              </w:trP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04859" w:color="auto" w:val="clear"/>
                  <w:tcMar>
                    <w:top w:type="dxa" w:w="120"/>
                    <w:left w:type="dxa" w:w="180"/>
                    <w:bottom w:type="dxa" w:w="130"/>
                    <w:right w:type="dxa" w:w="160"/>
                  </w:tcMar>
                  <w:vAlign w:val="top"/>
                </w:tcPr>
                <w:p>
                  <w:pPr>
                    <w:spacing w:after="30" w:line="240" w:lineRule="auto"/>
                  </w:pPr>
                  <w:r>
                    <w:rPr>
                      <w:rFonts w:ascii="Poppins SemiBold" w:cs="Poppins SemiBold" w:eastAsia="Poppins SemiBold" w:hAnsi="Poppins SemiBold"/>
                      <w:color w:val="FCAF19"/>
                      <w:sz w:val="22"/>
                      <w:szCs w:val="22"/>
                    </w:rPr>
                    <w:t xml:space="preserve">CAPA</w:t>
                  </w:r>
                </w:p>
                <w:p>
                  <w:pPr>
                    <w:spacing w:after="0" w:line="245" w:lineRule="auto"/>
                  </w:pPr>
                  <w:r>
                    <w:rPr>
                      <w:rFonts w:ascii="Open Sans" w:cs="Open Sans" w:eastAsia="Open Sans" w:hAnsi="Open Sans"/>
                      <w:color w:val="FFFFFF"/>
                      <w:sz w:val="15"/>
                      <w:szCs w:val="15"/>
                    </w:rPr>
                    <w:t xml:space="preserve">et inscription à un barreau français</w:t>
                  </w:r>
                </w:p>
              </w:tc>
              <w:tc>
                <w:tcPr>
                  <w:tcW w:type="dxa" w:w="22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line="259" w:lineRule="auto"/>
                  </w:pP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04859" w:color="auto" w:val="clear"/>
                  <w:tcMar>
                    <w:top w:type="dxa" w:w="120"/>
                    <w:left w:type="dxa" w:w="180"/>
                    <w:bottom w:type="dxa" w:w="130"/>
                    <w:right w:type="dxa" w:w="160"/>
                  </w:tcMar>
                  <w:vAlign w:val="top"/>
                </w:tcPr>
                <w:p>
                  <w:pPr>
                    <w:spacing w:after="30" w:line="240" w:lineRule="auto"/>
                  </w:pPr>
                  <w:r>
                    <w:rPr>
                      <w:rFonts w:ascii="Poppins SemiBold" w:cs="Poppins SemiBold" w:eastAsia="Poppins SemiBold" w:hAnsi="Poppins SemiBold"/>
                      <w:color w:val="FCAF19"/>
                      <w:sz w:val="22"/>
                      <w:szCs w:val="22"/>
                    </w:rPr>
                    <w:t xml:space="preserve">5 ans minimum</w:t>
                  </w:r>
                </w:p>
                <w:p>
                  <w:pPr>
                    <w:spacing w:after="0" w:line="245" w:lineRule="auto"/>
                  </w:pPr>
                  <w:r>
                    <w:rPr>
                      <w:rFonts w:ascii="Open Sans" w:cs="Open Sans" w:eastAsia="Open Sans" w:hAnsi="Open Sans"/>
                      <w:color w:val="FFFFFF"/>
                      <w:sz w:val="15"/>
                      <w:szCs w:val="15"/>
                    </w:rPr>
                    <w:t xml:space="preserve">de pratique en cabinet, avec une réelle exposition au contentieux et à la relation client</w:t>
                  </w:r>
                </w:p>
              </w:tc>
              <w:tc>
                <w:tcPr>
                  <w:tcW w:type="dxa" w:w="22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line="259" w:lineRule="auto"/>
                  </w:pP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04859" w:color="auto" w:val="clear"/>
                  <w:tcMar>
                    <w:top w:type="dxa" w:w="120"/>
                    <w:left w:type="dxa" w:w="180"/>
                    <w:bottom w:type="dxa" w:w="130"/>
                    <w:right w:type="dxa" w:w="160"/>
                  </w:tcMar>
                  <w:vAlign w:val="top"/>
                </w:tcPr>
                <w:p>
                  <w:pPr>
                    <w:spacing w:after="30" w:line="240" w:lineRule="auto"/>
                  </w:pPr>
                  <w:r>
                    <w:rPr>
                      <w:rFonts w:ascii="Poppins SemiBold" w:cs="Poppins SemiBold" w:eastAsia="Poppins SemiBold" w:hAnsi="Poppins SemiBold"/>
                      <w:color w:val="FCAF19"/>
                      <w:sz w:val="22"/>
                      <w:szCs w:val="22"/>
                    </w:rPr>
                    <w:t xml:space="preserve">+ Spécialisation</w:t>
                  </w:r>
                </w:p>
                <w:p>
                  <w:pPr>
                    <w:spacing w:after="0" w:line="245" w:lineRule="auto"/>
                  </w:pPr>
                  <w:r>
                    <w:rPr>
                      <w:rFonts w:ascii="Open Sans" w:cs="Open Sans" w:eastAsia="Open Sans" w:hAnsi="Open Sans"/>
                      <w:color w:val="FFFFFF"/>
                      <w:sz w:val="15"/>
                      <w:szCs w:val="15"/>
                    </w:rPr>
                    <w:t xml:space="preserve">en droit du dommage corporel, en responsabilité médicale ou en droit de la santé serait un plus</w:t>
                  </w:r>
                </w:p>
              </w:tc>
            </w:tr>
          </w:tbl>
          <w:p>
            <w:pPr>
              <w:spacing w:after="198" w:before="198" w:line="265" w:lineRule="auto"/>
              <w:jc w:val="both"/>
            </w:pPr>
            <w:r>
              <w:rPr>
                <w:rFonts w:ascii="Open Sans SemiBold" w:cs="Open Sans SemiBold" w:eastAsia="Open Sans SemiBold" w:hAnsi="Open Sans SemiBold"/>
                <w:color w:val="262626"/>
                <w:sz w:val="17"/>
                <w:szCs w:val="17"/>
              </w:rPr>
              <w:t xml:space="preserve">À défaut</w:t>
            </w:r>
            <w:r>
              <w:rPr>
                <w:rFonts w:ascii="Open Sans" w:cs="Open Sans" w:eastAsia="Open Sans" w:hAnsi="Open Sans"/>
                <w:color w:val="262626"/>
                <w:sz w:val="17"/>
                <w:szCs w:val="17"/>
              </w:rPr>
              <w:t xml:space="preserve">, votre capacité à vous approprier rapidement la matière et à prendre le relais compte davantage qu’une spécialisation déjà acquise.</w:t>
            </w:r>
          </w:p>
          <w:tbl>
            <w:tblPr>
              <w:tblW w:type="dxa" w:w="771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742"/>
              <w:gridCol w:w="227"/>
              <w:gridCol w:w="3742"/>
            </w:tblGrid>
            <w:tr>
              <w:trPr>
                <w:cantSplit/>
              </w:trPr>
              <w:tc>
                <w:tcPr>
                  <w:tcW w:type="dxa" w:w="374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tbl>
                  <w:tblPr>
                    <w:tblW w:type="dxa" w:w="3742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3742"/>
                  </w:tblGrid>
                  <w:tr>
                    <w:trPr>
                      <w:cantSplit/>
                    </w:trPr>
                    <w:tc>
                      <w:tcPr>
                        <w:tcW w:type="dxa" w:w="374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304859" w:color="auto" w:val="clear"/>
                        <w:tcMar>
                          <w:top w:type="dxa" w:w="90"/>
                          <w:left w:type="dxa" w:w="190"/>
                          <w:bottom w:type="dxa" w:w="80"/>
                          <w:right w:type="dxa" w:w="170"/>
                        </w:tcMar>
                        <w:vAlign w:val="top"/>
                      </w:tcPr>
                      <w:p>
                        <w:pPr>
                          <w:spacing w:after="0" w:line="259" w:lineRule="auto"/>
                        </w:pPr>
                        <w:r>
                          <w:rPr>
                            <w:rFonts w:ascii="Poppins Medium" w:cs="Poppins Medium" w:eastAsia="Poppins Medium" w:hAnsi="Poppins Medium"/>
                            <w:color w:val="FFFFFF"/>
                            <w:spacing w:val="30"/>
                            <w:sz w:val="13"/>
                            <w:szCs w:val="13"/>
                          </w:rPr>
                          <w:t xml:space="preserve">COMPÉTENCES TECHNIQUES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742"/>
                        <w:tcBorders>
                          <w:top w:val="none" w:color="FFFFFF" w:sz="0"/>
                          <w:left w:val="single" w:color="D3D9DE" w:sz="4"/>
                          <w:bottom w:val="single" w:color="D3D9DE" w:sz="4"/>
                          <w:right w:val="single" w:color="D3D9DE" w:sz="4"/>
                        </w:tcBorders>
                        <w:tcMar>
                          <w:top w:type="dxa" w:w="110"/>
                          <w:left w:type="dxa" w:w="170"/>
                          <w:bottom w:type="dxa" w:w="60"/>
                          <w:right w:type="dxa" w:w="160"/>
                        </w:tcMar>
                        <w:vAlign w:val="top"/>
                      </w:tcPr>
                      <w:p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50" w:line="240" w:lineRule="auto"/>
                        </w:pPr>
                        <w:r>
                          <w:rPr>
                            <w:rFonts w:ascii="Open Sans SemiBold" w:cs="Open Sans SemiBold" w:eastAsia="Open Sans SemiBold" w:hAnsi="Open Sans SemiBold"/>
                            <w:color w:val="262626"/>
                            <w:sz w:val="15"/>
                            <w:szCs w:val="15"/>
                          </w:rPr>
                          <w:t xml:space="preserve">Responsabilité civile : </w:t>
                        </w:r>
                        <w:r>
                          <w:rPr>
                            <w:rFonts w:ascii="Open Sans" w:cs="Open Sans" w:eastAsia="Open Sans" w:hAnsi="Open Sans"/>
                            <w:color w:val="262626"/>
                            <w:sz w:val="15"/>
                            <w:szCs w:val="15"/>
                          </w:rPr>
                          <w:t xml:space="preserve">solide maîtrise du droit de la responsabilité civile et des mécanismes d’indemnisation.</w:t>
                        </w:r>
                      </w:p>
                      <w:p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50" w:line="240" w:lineRule="auto"/>
                        </w:pPr>
                        <w:r>
                          <w:rPr>
                            <w:rFonts w:ascii="Open Sans SemiBold" w:cs="Open Sans SemiBold" w:eastAsia="Open Sans SemiBold" w:hAnsi="Open Sans SemiBold"/>
                            <w:color w:val="262626"/>
                            <w:sz w:val="15"/>
                            <w:szCs w:val="15"/>
                          </w:rPr>
                          <w:t xml:space="preserve">Actes et plaidoirie : </w:t>
                        </w:r>
                        <w:r>
                          <w:rPr>
                            <w:rFonts w:ascii="Open Sans" w:cs="Open Sans" w:eastAsia="Open Sans" w:hAnsi="Open Sans"/>
                            <w:color w:val="262626"/>
                            <w:sz w:val="15"/>
                            <w:szCs w:val="15"/>
                          </w:rPr>
                          <w:t xml:space="preserve">aisance en rédaction d’actes et à la plaidoirie.</w:t>
                        </w:r>
                      </w:p>
                      <w:p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50" w:line="240" w:lineRule="auto"/>
                        </w:pPr>
                        <w:r>
                          <w:rPr>
                            <w:rFonts w:ascii="Open Sans SemiBold" w:cs="Open Sans SemiBold" w:eastAsia="Open Sans SemiBold" w:hAnsi="Open Sans SemiBold"/>
                            <w:color w:val="262626"/>
                            <w:sz w:val="15"/>
                            <w:szCs w:val="15"/>
                          </w:rPr>
                          <w:t xml:space="preserve">Pièces médicales : </w:t>
                        </w:r>
                        <w:r>
                          <w:rPr>
                            <w:rFonts w:ascii="Open Sans" w:cs="Open Sans" w:eastAsia="Open Sans" w:hAnsi="Open Sans"/>
                            <w:color w:val="262626"/>
                            <w:sz w:val="15"/>
                            <w:szCs w:val="15"/>
                          </w:rPr>
                          <w:t xml:space="preserve">capacité à travailler sur pièces médicales et à dialoguer avec des experts.</w:t>
                        </w:r>
                      </w:p>
                      <w:p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50" w:line="240" w:lineRule="auto"/>
                        </w:pPr>
                        <w:r>
                          <w:rPr>
                            <w:rFonts w:ascii="Open Sans SemiBold" w:cs="Open Sans SemiBold" w:eastAsia="Open Sans SemiBold" w:hAnsi="Open Sans SemiBold"/>
                            <w:color w:val="262626"/>
                            <w:sz w:val="15"/>
                            <w:szCs w:val="15"/>
                          </w:rPr>
                          <w:t xml:space="preserve">Numérique et IA : </w:t>
                        </w:r>
                        <w:r>
                          <w:rPr>
                            <w:rFonts w:ascii="Open Sans" w:cs="Open Sans" w:eastAsia="Open Sans" w:hAnsi="Open Sans"/>
                            <w:color w:val="262626"/>
                            <w:sz w:val="15"/>
                            <w:szCs w:val="15"/>
                          </w:rPr>
                          <w:t xml:space="preserve">appétence réelle pour les outils numériques et l’innovation juridique (digitalisation, IA).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22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line="259" w:lineRule="auto"/>
                  </w:pPr>
                </w:p>
              </w:tc>
              <w:tc>
                <w:tcPr>
                  <w:tcW w:type="dxa" w:w="374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tbl>
                  <w:tblPr>
                    <w:tblW w:type="dxa" w:w="3742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3742"/>
                  </w:tblGrid>
                  <w:tr>
                    <w:trPr>
                      <w:cantSplit/>
                    </w:trPr>
                    <w:tc>
                      <w:tcPr>
                        <w:tcW w:type="dxa" w:w="374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304859" w:color="auto" w:val="clear"/>
                        <w:tcMar>
                          <w:top w:type="dxa" w:w="90"/>
                          <w:left w:type="dxa" w:w="190"/>
                          <w:bottom w:type="dxa" w:w="80"/>
                          <w:right w:type="dxa" w:w="170"/>
                        </w:tcMar>
                        <w:vAlign w:val="top"/>
                      </w:tcPr>
                      <w:p>
                        <w:pPr>
                          <w:spacing w:after="0" w:line="259" w:lineRule="auto"/>
                        </w:pPr>
                        <w:r>
                          <w:rPr>
                            <w:rFonts w:ascii="Poppins Medium" w:cs="Poppins Medium" w:eastAsia="Poppins Medium" w:hAnsi="Poppins Medium"/>
                            <w:color w:val="FFFFFF"/>
                            <w:spacing w:val="30"/>
                            <w:sz w:val="13"/>
                            <w:szCs w:val="13"/>
                          </w:rPr>
                          <w:t xml:space="preserve">QUALITÉS PERSONNELLES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742"/>
                        <w:tcBorders>
                          <w:top w:val="none" w:color="FFFFFF" w:sz="0"/>
                          <w:left w:val="single" w:color="D3D9DE" w:sz="4"/>
                          <w:bottom w:val="single" w:color="D3D9DE" w:sz="4"/>
                          <w:right w:val="single" w:color="D3D9DE" w:sz="4"/>
                        </w:tcBorders>
                        <w:tcMar>
                          <w:top w:type="dxa" w:w="110"/>
                          <w:left w:type="dxa" w:w="170"/>
                          <w:bottom w:type="dxa" w:w="60"/>
                          <w:right w:type="dxa" w:w="160"/>
                        </w:tcMar>
                        <w:vAlign w:val="top"/>
                      </w:tcPr>
                      <w:p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50" w:line="240" w:lineRule="auto"/>
                        </w:pPr>
                        <w:r>
                          <w:rPr>
                            <w:rFonts w:ascii="Open Sans SemiBold" w:cs="Open Sans SemiBold" w:eastAsia="Open Sans SemiBold" w:hAnsi="Open Sans SemiBold"/>
                            <w:color w:val="262626"/>
                            <w:sz w:val="15"/>
                            <w:szCs w:val="15"/>
                          </w:rPr>
                          <w:t xml:space="preserve">Leadership : </w:t>
                        </w:r>
                        <w:r>
                          <w:rPr>
                            <w:rFonts w:ascii="Open Sans" w:cs="Open Sans" w:eastAsia="Open Sans" w:hAnsi="Open Sans"/>
                            <w:color w:val="262626"/>
                            <w:sz w:val="15"/>
                            <w:szCs w:val="15"/>
                          </w:rPr>
                          <w:t xml:space="preserve">vous savez entraîner une équipe, arbitrer et décider.</w:t>
                        </w:r>
                      </w:p>
                      <w:p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50" w:line="240" w:lineRule="auto"/>
                        </w:pPr>
                        <w:r>
                          <w:rPr>
                            <w:rFonts w:ascii="Open Sans SemiBold" w:cs="Open Sans SemiBold" w:eastAsia="Open Sans SemiBold" w:hAnsi="Open Sans SemiBold"/>
                            <w:color w:val="262626"/>
                            <w:sz w:val="15"/>
                            <w:szCs w:val="15"/>
                          </w:rPr>
                          <w:t xml:space="preserve">Esprit entrepreneurial : </w:t>
                        </w:r>
                        <w:r>
                          <w:rPr>
                            <w:rFonts w:ascii="Open Sans" w:cs="Open Sans" w:eastAsia="Open Sans" w:hAnsi="Open Sans"/>
                            <w:color w:val="262626"/>
                            <w:sz w:val="15"/>
                            <w:szCs w:val="15"/>
                          </w:rPr>
                          <w:t xml:space="preserve">vous prenez des initiatives et vous inscrivez dans une logique de développement.</w:t>
                        </w:r>
                      </w:p>
                      <w:p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50" w:line="240" w:lineRule="auto"/>
                        </w:pPr>
                        <w:r>
                          <w:rPr>
                            <w:rFonts w:ascii="Open Sans SemiBold" w:cs="Open Sans SemiBold" w:eastAsia="Open Sans SemiBold" w:hAnsi="Open Sans SemiBold"/>
                            <w:color w:val="262626"/>
                            <w:sz w:val="15"/>
                            <w:szCs w:val="15"/>
                          </w:rPr>
                          <w:t xml:space="preserve">Excellente communication : </w:t>
                        </w:r>
                        <w:r>
                          <w:rPr>
                            <w:rFonts w:ascii="Open Sans" w:cs="Open Sans" w:eastAsia="Open Sans" w:hAnsi="Open Sans"/>
                            <w:color w:val="262626"/>
                            <w:sz w:val="15"/>
                            <w:szCs w:val="15"/>
                          </w:rPr>
                          <w:t xml:space="preserve">à l’écrit comme à l’oral, devant un tribunal comme face à des victimes éprouvées.</w:t>
                        </w:r>
                      </w:p>
                      <w:p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50" w:line="240" w:lineRule="auto"/>
                        </w:pPr>
                        <w:r>
                          <w:rPr>
                            <w:rFonts w:ascii="Open Sans SemiBold" w:cs="Open Sans SemiBold" w:eastAsia="Open Sans SemiBold" w:hAnsi="Open Sans SemiBold"/>
                            <w:color w:val="262626"/>
                            <w:sz w:val="15"/>
                            <w:szCs w:val="15"/>
                          </w:rPr>
                          <w:t xml:space="preserve">Sens affirmé de la relation client : </w:t>
                        </w:r>
                        <w:r>
                          <w:rPr>
                            <w:rFonts w:ascii="Open Sans" w:cs="Open Sans" w:eastAsia="Open Sans" w:hAnsi="Open Sans"/>
                            <w:color w:val="262626"/>
                            <w:sz w:val="15"/>
                            <w:szCs w:val="15"/>
                          </w:rPr>
                          <w:t xml:space="preserve">écoute, empathie, humanité.</w:t>
                        </w:r>
                      </w:p>
                      <w:p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50" w:line="240" w:lineRule="auto"/>
                        </w:pPr>
                        <w:r>
                          <w:rPr>
                            <w:rFonts w:ascii="Open Sans SemiBold" w:cs="Open Sans SemiBold" w:eastAsia="Open Sans SemiBold" w:hAnsi="Open Sans SemiBold"/>
                            <w:color w:val="262626"/>
                            <w:sz w:val="15"/>
                            <w:szCs w:val="15"/>
                          </w:rPr>
                          <w:t xml:space="preserve">Autonomie, rigueur et sens du collectif</w:t>
                        </w:r>
                        <w:r>
                          <w:rPr>
                            <w:rFonts w:ascii="Open Sans" w:cs="Open Sans" w:eastAsia="Open Sans" w:hAnsi="Open Sans"/>
                            <w:color w:val="262626"/>
                            <w:sz w:val="15"/>
                            <w:szCs w:val="15"/>
                          </w:rPr>
                          <w:t xml:space="preserve">, dans un environnement exigeant et bienveillant.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pBdr>
          <w:bottom w:val="single" w:color="D3D9DE" w:sz="6" w:space="1"/>
        </w:pBdr>
        <w:spacing w:after="283" w:before="227"/>
      </w:pPr>
    </w:p>
    <w:p>
      <w:pPr>
        <w:spacing w:after="0" w:line="40" w:lineRule="exact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41"/>
        <w:gridCol w:w="340"/>
        <w:gridCol w:w="7711"/>
      </w:tblGrid>
      <w:tr>
        <w:trPr>
          <w:cantSplit/>
        </w:trPr>
        <w:tc>
          <w:tcPr>
            <w:tcW w:type="dxa" w:w="20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Poppins SemiBold" w:cs="Poppins SemiBold" w:eastAsia="Poppins SemiBold" w:hAnsi="Poppins SemiBold"/>
                <w:color w:val="B52026"/>
                <w:sz w:val="52"/>
                <w:szCs w:val="52"/>
              </w:rPr>
              <w:t xml:space="preserve">04</w:t>
            </w:r>
          </w:p>
          <w:p>
            <w:pPr>
              <w:spacing w:after="0" w:line="250" w:lineRule="auto"/>
              <w:ind w:right="113"/>
            </w:pPr>
            <w:r>
              <w:rPr>
                <w:rFonts w:ascii="Poppins SemiBold" w:cs="Poppins SemiBold" w:eastAsia="Poppins SemiBold" w:hAnsi="Poppins SemiBold"/>
                <w:color w:val="304859"/>
                <w:sz w:val="21"/>
                <w:szCs w:val="21"/>
              </w:rPr>
              <w:t xml:space="preserve">Une ambition à la hauteur de la vôtre ?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59" w:lineRule="auto"/>
            </w:pPr>
          </w:p>
        </w:tc>
        <w:tc>
          <w:tcPr>
            <w:tcW w:type="dxa" w:w="77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40"/>
            </w:pPr>
            <w:r>
              <w:rPr>
                <w:rFonts w:ascii="Poppins Medium" w:cs="Poppins Medium" w:eastAsia="Poppins Medium" w:hAnsi="Poppins Medium"/>
                <w:color w:val="B52026"/>
                <w:spacing w:val="30"/>
                <w:sz w:val="13"/>
                <w:szCs w:val="13"/>
              </w:rPr>
              <w:t xml:space="preserve">CE QUE NOUS VOUS OFFRONS</w:t>
            </w:r>
          </w:p>
          <w:p>
            <w:pPr>
              <w:spacing w:after="110" w:line="240" w:lineRule="auto"/>
            </w:pPr>
            <w:r>
              <w:rPr>
                <w:rFonts w:ascii="Poppins SemiBold" w:cs="Poppins SemiBold" w:eastAsia="Poppins SemiBold" w:hAnsi="Poppins SemiBold"/>
                <w:color w:val="304859"/>
                <w:sz w:val="33"/>
                <w:szCs w:val="33"/>
              </w:rPr>
              <w:t xml:space="preserve">Une perspective d’association</w:t>
            </w:r>
          </w:p>
          <w:p>
            <w:pPr>
              <w:spacing w:after="198" w:line="276" w:lineRule="auto"/>
              <w:jc w:val="both"/>
            </w:pPr>
            <w:r>
              <w:rPr>
                <w:rFonts w:ascii="Open Sans SemiBold" w:cs="Open Sans SemiBold" w:eastAsia="Open Sans SemiBold" w:hAnsi="Open Sans SemiBold"/>
                <w:color w:val="262626"/>
                <w:sz w:val="18"/>
                <w:szCs w:val="18"/>
              </w:rPr>
              <w:t xml:space="preserve">Vous avancez vers l’association par étapes.</w:t>
            </w:r>
            <w:r>
              <w:rPr>
                <w:rFonts w:ascii="Open Sans" w:cs="Open Sans" w:eastAsia="Open Sans" w:hAnsi="Open Sans"/>
                <w:color w:val="262626"/>
                <w:sz w:val="18"/>
                <w:szCs w:val="18"/>
              </w:rPr>
              <w:t xml:space="preserve"> Vous prendrez en charge des responsabilités progressivement.</w:t>
            </w:r>
          </w:p>
          <w:tbl>
            <w:tblPr>
              <w:tblW w:type="dxa" w:w="771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742"/>
              <w:gridCol w:w="227"/>
              <w:gridCol w:w="3742"/>
            </w:tblGrid>
            <w:tr>
              <w:trPr>
                <w:cantSplit/>
              </w:trPr>
              <w:tc>
                <w:tcPr>
                  <w:tcW w:type="dxa" w:w="374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52026" w:color="auto" w:val="clear"/>
                  <w:tcMar>
                    <w:top w:type="dxa" w:w="120"/>
                    <w:left w:type="dxa" w:w="180"/>
                    <w:bottom w:type="dxa" w:w="130"/>
                    <w:right w:type="dxa" w:w="160"/>
                  </w:tcMar>
                  <w:vAlign w:val="top"/>
                </w:tcPr>
                <w:p>
                  <w:pPr>
                    <w:spacing w:after="30" w:line="240" w:lineRule="auto"/>
                  </w:pPr>
                  <w:r>
                    <w:rPr>
                      <w:rFonts w:ascii="Poppins SemiBold" w:cs="Poppins SemiBold" w:eastAsia="Poppins SemiBold" w:hAnsi="Poppins SemiBold"/>
                      <w:color w:val="FFFFFF"/>
                      <w:sz w:val="26"/>
                      <w:szCs w:val="26"/>
                    </w:rPr>
                    <w:t xml:space="preserve">218 jours</w:t>
                  </w:r>
                </w:p>
                <w:p>
                  <w:pPr>
                    <w:spacing w:after="0" w:line="245" w:lineRule="auto"/>
                  </w:pPr>
                  <w:r>
                    <w:rPr>
                      <w:rFonts w:ascii="Open Sans" w:cs="Open Sans" w:eastAsia="Open Sans" w:hAnsi="Open Sans"/>
                      <w:color w:val="FFFFFF"/>
                      <w:sz w:val="15"/>
                      <w:szCs w:val="15"/>
                    </w:rPr>
                    <w:t xml:space="preserve">CDI, statut cadre, forfait annuel ; rémunération fixe selon profil et expérience</w:t>
                  </w:r>
                </w:p>
              </w:tc>
              <w:tc>
                <w:tcPr>
                  <w:tcW w:type="dxa" w:w="22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line="259" w:lineRule="auto"/>
                  </w:pPr>
                </w:p>
              </w:tc>
              <w:tc>
                <w:tcPr>
                  <w:tcW w:type="dxa" w:w="374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52026" w:color="auto" w:val="clear"/>
                  <w:tcMar>
                    <w:top w:type="dxa" w:w="120"/>
                    <w:left w:type="dxa" w:w="180"/>
                    <w:bottom w:type="dxa" w:w="130"/>
                    <w:right w:type="dxa" w:w="160"/>
                  </w:tcMar>
                  <w:vAlign w:val="top"/>
                </w:tcPr>
                <w:p>
                  <w:pPr>
                    <w:spacing w:after="30" w:line="240" w:lineRule="auto"/>
                  </w:pPr>
                  <w:r>
                    <w:rPr>
                      <w:rFonts w:ascii="Poppins SemiBold" w:cs="Poppins SemiBold" w:eastAsia="Poppins SemiBold" w:hAnsi="Poppins SemiBold"/>
                      <w:color w:val="FFFFFF"/>
                      <w:sz w:val="26"/>
                      <w:szCs w:val="26"/>
                    </w:rPr>
                    <w:t xml:space="preserve">PEE et PER</w:t>
                  </w:r>
                </w:p>
                <w:p>
                  <w:pPr>
                    <w:spacing w:after="0" w:line="245" w:lineRule="auto"/>
                  </w:pPr>
                  <w:r>
                    <w:rPr>
                      <w:rFonts w:ascii="Open Sans" w:cs="Open Sans" w:eastAsia="Open Sans" w:hAnsi="Open Sans"/>
                      <w:color w:val="FFFFFF"/>
                      <w:sz w:val="15"/>
                      <w:szCs w:val="15"/>
                    </w:rPr>
                    <w:t xml:space="preserve">avec abondement du cabinet, en plus des tickets restaurant</w:t>
                  </w:r>
                </w:p>
              </w:tc>
            </w:tr>
          </w:tbl>
          <w:p>
            <w:pPr>
              <w:spacing w:after="0" w:before="0" w:line="142" w:lineRule="exact"/>
            </w:pPr>
          </w:p>
          <w:tbl>
            <w:tblPr>
              <w:tblW w:type="dxa" w:w="771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19"/>
              <w:gridCol w:w="227"/>
              <w:gridCol w:w="2419"/>
              <w:gridCol w:w="227"/>
              <w:gridCol w:w="2419"/>
            </w:tblGrid>
            <w:tr>
              <w:trPr>
                <w:cantSplit/>
              </w:trP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0C7" w:color="auto" w:val="clear"/>
                  <w:tcMar>
                    <w:top w:type="dxa" w:w="120"/>
                    <w:left w:type="dxa" w:w="180"/>
                    <w:bottom w:type="dxa" w:w="130"/>
                    <w:right w:type="dxa" w:w="160"/>
                  </w:tcMar>
                  <w:vAlign w:val="top"/>
                </w:tcPr>
                <w:p>
                  <w:pPr>
                    <w:spacing w:after="30" w:line="240" w:lineRule="auto"/>
                  </w:pPr>
                  <w:r>
                    <w:rPr>
                      <w:rFonts w:ascii="Poppins SemiBold" w:cs="Poppins SemiBold" w:eastAsia="Poppins SemiBold" w:hAnsi="Poppins SemiBold"/>
                      <w:color w:val="304859"/>
                      <w:sz w:val="20"/>
                      <w:szCs w:val="20"/>
                    </w:rPr>
                    <w:t xml:space="preserve">Fort enjeu humain</w:t>
                  </w:r>
                </w:p>
                <w:p>
                  <w:pPr>
                    <w:spacing w:after="0" w:line="245" w:lineRule="auto"/>
                  </w:pPr>
                  <w:r>
                    <w:rPr>
                      <w:rFonts w:ascii="Open Sans" w:cs="Open Sans" w:eastAsia="Open Sans" w:hAnsi="Open Sans"/>
                      <w:color w:val="3F4A52"/>
                      <w:sz w:val="15"/>
                      <w:szCs w:val="15"/>
                    </w:rPr>
                    <w:t xml:space="preserve">des dossiers techniques, au service exclusif des victimes</w:t>
                  </w:r>
                </w:p>
              </w:tc>
              <w:tc>
                <w:tcPr>
                  <w:tcW w:type="dxa" w:w="22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line="259" w:lineRule="auto"/>
                  </w:pP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0C7" w:color="auto" w:val="clear"/>
                  <w:tcMar>
                    <w:top w:type="dxa" w:w="120"/>
                    <w:left w:type="dxa" w:w="180"/>
                    <w:bottom w:type="dxa" w:w="130"/>
                    <w:right w:type="dxa" w:w="160"/>
                  </w:tcMar>
                  <w:vAlign w:val="top"/>
                </w:tcPr>
                <w:p>
                  <w:pPr>
                    <w:spacing w:after="30" w:line="240" w:lineRule="auto"/>
                  </w:pPr>
                  <w:r>
                    <w:rPr>
                      <w:rFonts w:ascii="Poppins SemiBold" w:cs="Poppins SemiBold" w:eastAsia="Poppins SemiBold" w:hAnsi="Poppins SemiBold"/>
                      <w:color w:val="304859"/>
                      <w:sz w:val="20"/>
                      <w:szCs w:val="20"/>
                    </w:rPr>
                    <w:t xml:space="preserve">Taille humaine</w:t>
                  </w:r>
                </w:p>
                <w:p>
                  <w:pPr>
                    <w:spacing w:after="0" w:line="245" w:lineRule="auto"/>
                  </w:pPr>
                  <w:r>
                    <w:rPr>
                      <w:rFonts w:ascii="Open Sans" w:cs="Open Sans" w:eastAsia="Open Sans" w:hAnsi="Open Sans"/>
                      <w:color w:val="3F4A52"/>
                      <w:sz w:val="15"/>
                      <w:szCs w:val="15"/>
                    </w:rPr>
                    <w:t xml:space="preserve">un cabinet équipé d’outils numériques performants et engagé dans l’innovation</w:t>
                  </w:r>
                </w:p>
              </w:tc>
              <w:tc>
                <w:tcPr>
                  <w:tcW w:type="dxa" w:w="22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line="259" w:lineRule="auto"/>
                  </w:pP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0C7" w:color="auto" w:val="clear"/>
                  <w:tcMar>
                    <w:top w:type="dxa" w:w="120"/>
                    <w:left w:type="dxa" w:w="180"/>
                    <w:bottom w:type="dxa" w:w="130"/>
                    <w:right w:type="dxa" w:w="160"/>
                  </w:tcMar>
                  <w:vAlign w:val="top"/>
                </w:tcPr>
                <w:p>
                  <w:pPr>
                    <w:spacing w:after="30" w:line="240" w:lineRule="auto"/>
                  </w:pPr>
                  <w:r>
                    <w:rPr>
                      <w:rFonts w:ascii="Poppins SemiBold" w:cs="Poppins SemiBold" w:eastAsia="Poppins SemiBold" w:hAnsi="Poppins SemiBold"/>
                      <w:color w:val="304859"/>
                      <w:sz w:val="20"/>
                      <w:szCs w:val="20"/>
                    </w:rPr>
                    <w:t xml:space="preserve">Au cœur des Alpes</w:t>
                  </w:r>
                </w:p>
                <w:p>
                  <w:pPr>
                    <w:spacing w:after="0" w:line="245" w:lineRule="auto"/>
                  </w:pPr>
                  <w:r>
                    <w:rPr>
                      <w:rFonts w:ascii="Open Sans" w:cs="Open Sans" w:eastAsia="Open Sans" w:hAnsi="Open Sans"/>
                      <w:color w:val="3F4A52"/>
                      <w:sz w:val="15"/>
                      <w:szCs w:val="15"/>
                    </w:rPr>
                    <w:t xml:space="preserve">Grenoble et son cadre de vie montagneux</w:t>
                  </w:r>
                </w:p>
              </w:tc>
            </w:tr>
          </w:tbl>
          <w:p/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680" w:right="907" w:bottom="794" w:left="907" w:header="283" w:footer="34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oppins SemiBold">
    <w:charset w:val="00"/>
    <w:family w:val="auto"/>
    <w:pitch w:val="variable"/>
    <w:sig w:usb0="E0002AFF" w:usb1="C000247B" w:usb2="00000009" w:usb3="00000000" w:csb0="000001FF" w:csb1="00000000"/>
    <w:embedRegular r:id="rId1" w:fontKey="{9B59138D-9602-5F9A-64D7-F44B3B4AD501}"/>
  </w:font>
  <w:font w:name="Poppins Medium">
    <w:charset w:val="00"/>
    <w:family w:val="auto"/>
    <w:pitch w:val="variable"/>
    <w:sig w:usb0="E0002AFF" w:usb1="C000247B" w:usb2="00000009" w:usb3="00000000" w:csb0="000001FF" w:csb1="00000000"/>
    <w:embedRegular r:id="rId2" w:fontKey="{6DE6C4BE-29AE-D50B-A573-7E7ADA552739}"/>
  </w:font>
  <w:font w:name="Open Sans">
    <w:charset w:val="00"/>
    <w:family w:val="auto"/>
    <w:pitch w:val="variable"/>
    <w:sig w:usb0="E0002AFF" w:usb1="C000247B" w:usb2="00000009" w:usb3="00000000" w:csb0="000001FF" w:csb1="00000000"/>
    <w:embedRegular r:id="rId3" w:fontKey="{B3B31D60-7D1D-2623-80DC-2F0FC9912090}"/>
  </w:font>
  <w:font w:name="Open Sans SemiBold">
    <w:charset w:val="00"/>
    <w:family w:val="auto"/>
    <w:pitch w:val="variable"/>
    <w:sig w:usb0="E0002AFF" w:usb1="C000247B" w:usb2="00000009" w:usb3="00000000" w:csb0="000001FF" w:csb1="00000000"/>
    <w:embedRegular r:id="rId4" w:fontKey="{B5172CA3-4118-BAFA-7DBE-6355B3FE6A6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0"/>
    </w:pPr>
    <w:r>
      <w:drawing>
        <wp:anchor distT="0" distB="0" distL="0" distR="0" simplePos="0" allowOverlap="1" behindDoc="1" locked="1" layoutInCell="0" relativeHeight="2521016">
          <wp:simplePos x="0" y="0"/>
          <wp:positionH relativeFrom="page">
            <wp:posOffset>0</wp:posOffset>
          </wp:positionH>
          <wp:positionV relativeFrom="page">
            <wp:posOffset>8172000</wp:posOffset>
          </wp:positionV>
          <wp:extent cx="7560000" cy="2521016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25210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Poppins Medium" w:cs="Poppins Medium" w:eastAsia="Poppins Medium" w:hAnsi="Poppins Medium"/>
        <w:color w:val="FCAF19"/>
        <w:spacing w:val="30"/>
        <w:sz w:val="13"/>
        <w:szCs w:val="13"/>
      </w:rPr>
      <w:t xml:space="preserve">INFORMATIONS PRATIQUES</w:t>
    </w:r>
  </w:p>
  <w:p>
    <w:pPr>
      <w:spacing w:after="30"/>
    </w:pPr>
    <w:r>
      <w:rPr>
        <w:rFonts w:ascii="Poppins SemiBold" w:cs="Poppins SemiBold" w:eastAsia="Poppins SemiBold" w:hAnsi="Poppins SemiBold"/>
        <w:color w:val="FFFFFF"/>
        <w:sz w:val="29"/>
        <w:szCs w:val="29"/>
      </w:rPr>
      <w:t xml:space="preserve">Comment candidater ?</w:t>
    </w:r>
  </w:p>
  <w:p>
    <w:pPr>
      <w:spacing w:after="140"/>
    </w:pPr>
    <w:r>
      <w:rPr>
        <w:rFonts w:ascii="Open Sans SemiBold" w:cs="Open Sans SemiBold" w:eastAsia="Open Sans SemiBold" w:hAnsi="Open Sans SemiBold"/>
        <w:color w:val="FFFFFF"/>
        <w:sz w:val="16"/>
        <w:szCs w:val="16"/>
      </w:rPr>
      <w:t xml:space="preserve">Nous étudions toutes les candidatures</w:t>
    </w:r>
    <w:r>
      <w:rPr>
        <w:rFonts w:ascii="Open Sans" w:cs="Open Sans" w:eastAsia="Open Sans" w:hAnsi="Open Sans"/>
        <w:color w:val="FAF0C7"/>
        <w:sz w:val="16"/>
        <w:szCs w:val="16"/>
      </w:rPr>
      <w:t xml:space="preserve"> et nous nous engageons à répondre à chacune.</w:t>
    </w:r>
  </w:p>
  <w:tbl>
    <w:tblPr>
      <w:tblW w:type="dxa" w:w="10092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2523"/>
      <w:gridCol w:w="2523"/>
      <w:gridCol w:w="2523"/>
      <w:gridCol w:w="2523"/>
    </w:tblGrid>
    <w:tr>
      <w:trPr>
        <w:cantSplit/>
      </w:trPr>
      <w:tc>
        <w:tcPr>
          <w:tcW w:type="dxa" w:w="252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10"/>
          </w:tcMar>
          <w:vAlign w:val="top"/>
        </w:tcPr>
        <w:p>
          <w:pPr>
            <w:spacing w:after="70"/>
          </w:pPr>
          <w:r>
            <w:drawing>
              <wp:inline distT="0" distB="0" distL="0" distR="0">
                <wp:extent cx="306000" cy="306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6000" cy="30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spacing w:after="20" w:line="235" w:lineRule="auto"/>
          </w:pPr>
          <w:r>
            <w:rPr>
              <w:rFonts w:ascii="Poppins SemiBold" w:cs="Poppins SemiBold" w:eastAsia="Poppins SemiBold" w:hAnsi="Poppins SemiBold"/>
              <w:color w:val="FFFFFF"/>
              <w:sz w:val="17"/>
              <w:szCs w:val="17"/>
            </w:rPr>
            <w:t xml:space="preserve">Lieu et prise de poste</w:t>
          </w:r>
        </w:p>
        <w:p>
          <w:pPr>
            <w:spacing w:after="20" w:line="235" w:lineRule="auto"/>
          </w:pPr>
          <w:r>
            <w:rPr>
              <w:rFonts w:ascii="Open Sans SemiBold" w:cs="Open Sans SemiBold" w:eastAsia="Open Sans SemiBold" w:hAnsi="Open Sans SemiBold"/>
              <w:color w:val="FCAF19"/>
              <w:sz w:val="15"/>
              <w:szCs w:val="15"/>
            </w:rPr>
            <w:t xml:space="preserve">Grenoble (38)</w:t>
          </w:r>
        </w:p>
      </w:tc>
      <w:tc>
        <w:tcPr>
          <w:tcW w:type="dxa" w:w="2523"/>
          <w:tcBorders>
            <w:top w:val="none" w:color="FFFFFF" w:sz="0"/>
            <w:left w:val="single" w:color="5B7385" w:sz="4"/>
            <w:bottom w:val="none" w:color="FFFFFF" w:sz="0"/>
            <w:right w:val="none" w:color="FFFFFF" w:sz="0"/>
          </w:tcBorders>
          <w:tcMar>
            <w:top w:type="dxa" w:w="0"/>
            <w:left w:type="dxa" w:w="170"/>
            <w:bottom w:type="dxa" w:w="0"/>
            <w:right w:type="dxa" w:w="110"/>
          </w:tcMar>
          <w:vAlign w:val="top"/>
        </w:tcPr>
        <w:p>
          <w:pPr>
            <w:spacing w:after="70"/>
          </w:pPr>
          <w:r>
            <w:drawing>
              <wp:inline distT="0" distB="0" distL="0" distR="0">
                <wp:extent cx="306000" cy="306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6000" cy="30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spacing w:after="20" w:line="235" w:lineRule="auto"/>
          </w:pPr>
          <w:r>
            <w:rPr>
              <w:rFonts w:ascii="Poppins SemiBold" w:cs="Poppins SemiBold" w:eastAsia="Poppins SemiBold" w:hAnsi="Poppins SemiBold"/>
              <w:color w:val="FFFFFF"/>
              <w:sz w:val="17"/>
              <w:szCs w:val="17"/>
            </w:rPr>
            <w:t xml:space="preserve">Contrat</w:t>
          </w:r>
        </w:p>
        <w:p>
          <w:pPr>
            <w:spacing w:after="20" w:line="235" w:lineRule="auto"/>
          </w:pPr>
          <w:r>
            <w:rPr>
              <w:rFonts w:ascii="Open Sans SemiBold" w:cs="Open Sans SemiBold" w:eastAsia="Open Sans SemiBold" w:hAnsi="Open Sans SemiBold"/>
              <w:color w:val="FCAF19"/>
              <w:sz w:val="15"/>
              <w:szCs w:val="15"/>
            </w:rPr>
            <w:t xml:space="preserve">CDI · statut cadre</w:t>
          </w:r>
        </w:p>
        <w:p>
          <w:pPr>
            <w:spacing w:after="0" w:line="235" w:lineRule="auto"/>
          </w:pPr>
          <w:r>
            <w:rPr>
              <w:rFonts w:ascii="Open Sans" w:cs="Open Sans" w:eastAsia="Open Sans" w:hAnsi="Open Sans"/>
              <w:color w:val="FAF0C7"/>
              <w:sz w:val="14"/>
              <w:szCs w:val="14"/>
            </w:rPr>
            <w:t xml:space="preserve">Avocat(e) salarié(e), forfait jours (218), association future</w:t>
          </w:r>
        </w:p>
      </w:tc>
      <w:tc>
        <w:tcPr>
          <w:tcW w:type="dxa" w:w="2523"/>
          <w:tcBorders>
            <w:top w:val="none" w:color="FFFFFF" w:sz="0"/>
            <w:left w:val="single" w:color="5B7385" w:sz="4"/>
            <w:bottom w:val="none" w:color="FFFFFF" w:sz="0"/>
            <w:right w:val="none" w:color="FFFFFF" w:sz="0"/>
          </w:tcBorders>
          <w:tcMar>
            <w:top w:type="dxa" w:w="0"/>
            <w:left w:type="dxa" w:w="170"/>
            <w:bottom w:type="dxa" w:w="0"/>
            <w:right w:type="dxa" w:w="110"/>
          </w:tcMar>
          <w:vAlign w:val="top"/>
        </w:tcPr>
        <w:p>
          <w:pPr>
            <w:spacing w:after="70"/>
          </w:pPr>
          <w:r>
            <w:drawing>
              <wp:inline distT="0" distB="0" distL="0" distR="0">
                <wp:extent cx="306000" cy="306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6000" cy="30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spacing w:after="20" w:line="235" w:lineRule="auto"/>
          </w:pPr>
          <w:r>
            <w:rPr>
              <w:rFonts w:ascii="Poppins SemiBold" w:cs="Poppins SemiBold" w:eastAsia="Poppins SemiBold" w:hAnsi="Poppins SemiBold"/>
              <w:color w:val="FFFFFF"/>
              <w:sz w:val="17"/>
              <w:szCs w:val="17"/>
            </w:rPr>
            <w:t xml:space="preserve">Processus de recrutement</w:t>
          </w:r>
        </w:p>
        <w:p>
          <w:pPr>
            <w:spacing w:after="20" w:line="235" w:lineRule="auto"/>
          </w:pPr>
          <w:r>
            <w:rPr>
              <w:rFonts w:ascii="Open Sans SemiBold" w:cs="Open Sans SemiBold" w:eastAsia="Open Sans SemiBold" w:hAnsi="Open Sans SemiBold"/>
              <w:color w:val="FCAF19"/>
              <w:sz w:val="15"/>
              <w:szCs w:val="15"/>
            </w:rPr>
            <w:t xml:space="preserve">4 étapes</w:t>
          </w:r>
        </w:p>
        <w:p>
          <w:pPr>
            <w:spacing w:after="0" w:line="235" w:lineRule="auto"/>
          </w:pPr>
          <w:r>
            <w:rPr>
              <w:rFonts w:ascii="Open Sans" w:cs="Open Sans" w:eastAsia="Open Sans" w:hAnsi="Open Sans"/>
              <w:color w:val="FAF0C7"/>
              <w:sz w:val="14"/>
              <w:szCs w:val="14"/>
            </w:rPr>
            <w:t xml:space="preserve">Un échange téléphonique, puis trois entretiens au cabinet</w:t>
          </w:r>
        </w:p>
      </w:tc>
      <w:tc>
        <w:tcPr>
          <w:tcW w:type="dxa" w:w="2523"/>
          <w:tcBorders>
            <w:top w:val="none" w:color="FFFFFF" w:sz="0"/>
            <w:left w:val="single" w:color="5B7385" w:sz="4"/>
            <w:bottom w:val="none" w:color="FFFFFF" w:sz="0"/>
            <w:right w:val="none" w:color="FFFFFF" w:sz="0"/>
          </w:tcBorders>
          <w:tcMar>
            <w:top w:type="dxa" w:w="0"/>
            <w:left w:type="dxa" w:w="170"/>
            <w:bottom w:type="dxa" w:w="0"/>
            <w:right w:type="dxa" w:w="110"/>
          </w:tcMar>
          <w:vAlign w:val="top"/>
        </w:tcPr>
        <w:p>
          <w:pPr>
            <w:spacing w:after="70"/>
          </w:pPr>
          <w:r>
            <w:drawing>
              <wp:inline distT="0" distB="0" distL="0" distR="0">
                <wp:extent cx="306000" cy="306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6000" cy="30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spacing w:after="20" w:line="235" w:lineRule="auto"/>
          </w:pPr>
          <w:r>
            <w:rPr>
              <w:rFonts w:ascii="Poppins SemiBold" w:cs="Poppins SemiBold" w:eastAsia="Poppins SemiBold" w:hAnsi="Poppins SemiBold"/>
              <w:color w:val="FFFFFF"/>
              <w:sz w:val="17"/>
              <w:szCs w:val="17"/>
            </w:rPr>
            <w:t xml:space="preserve">Candidature</w:t>
          </w:r>
        </w:p>
        <w:p>
          <w:pPr>
            <w:spacing w:after="20" w:line="235" w:lineRule="auto"/>
          </w:pPr>
          <w:r>
            <w:rPr>
              <w:rFonts w:ascii="Open Sans SemiBold" w:cs="Open Sans SemiBold" w:eastAsia="Open Sans SemiBold" w:hAnsi="Open Sans SemiBold"/>
              <w:color w:val="FCAF19"/>
              <w:sz w:val="15"/>
              <w:szCs w:val="15"/>
            </w:rPr>
            <w:t xml:space="preserve">CV et lettre de motivation</w:t>
          </w:r>
        </w:p>
        <w:p>
          <w:pPr>
            <w:spacing w:after="0" w:line="235" w:lineRule="auto"/>
          </w:pPr>
          <w:r>
            <w:rPr>
              <w:rFonts w:ascii="Open Sans" w:cs="Open Sans" w:eastAsia="Open Sans" w:hAnsi="Open Sans"/>
              <w:color w:val="FAF0C7"/>
              <w:sz w:val="14"/>
              <w:szCs w:val="14"/>
            </w:rPr>
            <w:t xml:space="preserve">recrutement@</w:t>
          </w:r>
        </w:p>
        <w:p>
          <w:pPr>
            <w:spacing w:after="0" w:line="235" w:lineRule="auto"/>
          </w:pPr>
          <w:r>
            <w:rPr>
              <w:rFonts w:ascii="Open Sans" w:cs="Open Sans" w:eastAsia="Open Sans" w:hAnsi="Open Sans"/>
              <w:color w:val="FAF0C7"/>
              <w:sz w:val="14"/>
              <w:szCs w:val="14"/>
            </w:rPr>
            <w:t xml:space="preserve">victimesetprejudices.fr</w:t>
          </w:r>
        </w:p>
      </w:tc>
    </w:tr>
  </w:tbl>
  <w:p>
    <w:pPr>
      <w:spacing w:after="283"/>
    </w:pPr>
  </w:p>
  <w:p>
    <w:pPr>
      <w:tabs>
        <w:tab w:val="right" w:pos="10092"/>
      </w:tabs>
      <w:spacing w:after="0" w:line="259" w:lineRule="auto"/>
    </w:pPr>
    <w:r>
      <w:drawing>
        <wp:anchor distT="0" distB="0" distL="0" distR="0" simplePos="0" allowOverlap="1" behindDoc="1" locked="1" layoutInCell="0" relativeHeight="79258">
          <wp:simplePos x="0" y="0"/>
          <wp:positionH relativeFrom="page">
            <wp:posOffset>0</wp:posOffset>
          </wp:positionH>
          <wp:positionV relativeFrom="page">
            <wp:posOffset>10612800</wp:posOffset>
          </wp:positionV>
          <wp:extent cx="7560000" cy="79258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5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792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Open Sans" w:cs="Open Sans" w:eastAsia="Open Sans" w:hAnsi="Open Sans"/>
        <w:color w:val="FAF0C7"/>
        <w:sz w:val="13"/>
        <w:szCs w:val="13"/>
      </w:rPr>
      <w:t xml:space="preserve">Offre d’emploi · Victimes &amp; Préjudices Avocats · recrutement@victimesetprejudices.fr</w:t>
    </w:r>
    <w:r>
      <w:rPr>
        <w:rFonts w:ascii="Poppins Medium" w:cs="Poppins Medium" w:eastAsia="Poppins Medium" w:hAnsi="Poppins Medium"/>
        <w:color w:val="FAF0C7"/>
        <w:sz w:val="13"/>
        <w:szCs w:val="13"/>
      </w:rPr>
      <w:t xml:space="preserve">	2 / 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92"/>
      </w:tabs>
      <w:spacing w:after="0" w:line="259" w:lineRule="auto"/>
    </w:pPr>
    <w:r>
      <w:drawing>
        <wp:anchor distT="0" distB="0" distL="0" distR="0" simplePos="0" allowOverlap="1" behindDoc="1" locked="1" layoutInCell="0" relativeHeight="79258">
          <wp:simplePos x="0" y="0"/>
          <wp:positionH relativeFrom="page">
            <wp:posOffset>0</wp:posOffset>
          </wp:positionH>
          <wp:positionV relativeFrom="page">
            <wp:posOffset>10612800</wp:posOffset>
          </wp:positionV>
          <wp:extent cx="7560000" cy="79258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792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Open Sans" w:cs="Open Sans" w:eastAsia="Open Sans" w:hAnsi="Open Sans"/>
        <w:color w:val="3F4A52"/>
        <w:sz w:val="13"/>
        <w:szCs w:val="13"/>
      </w:rPr>
      <w:t xml:space="preserve">Offre d’emploi · Victimes &amp; Préjudices Avocats · recrutement@victimesetprejudices.fr</w:t>
    </w:r>
    <w:r>
      <w:rPr>
        <w:rFonts w:ascii="Poppins Medium" w:cs="Poppins Medium" w:eastAsia="Poppins Medium" w:hAnsi="Poppins Medium"/>
        <w:color w:val="3F4A52"/>
        <w:sz w:val="13"/>
        <w:szCs w:val="13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54"/>
    </w:pPr>
    <w:r>
      <w:drawing>
        <wp:anchor distT="0" distB="0" distL="0" distR="0" simplePos="0" allowOverlap="1" behindDoc="1" locked="1" layoutInCell="0" relativeHeight="53956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53956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5395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Poppins Medium" w:cs="Poppins Medium" w:eastAsia="Poppins Medium" w:hAnsi="Poppins Medium"/>
        <w:color w:val="FFFFFF"/>
        <w:spacing w:val="30"/>
        <w:sz w:val="13"/>
        <w:szCs w:val="13"/>
      </w:rPr>
      <w:t xml:space="preserve">AVOCAT(E) SALARIÉ(E)  ·  OFFRE D’EMPLOI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59" w:lineRule="auto"/>
    </w:pPr>
    <w:r>
      <w:drawing>
        <wp:anchor distT="0" distB="0" distL="0" distR="0" simplePos="0" allowOverlap="1" behindDoc="1" locked="1" layoutInCell="0" relativeHeight="370988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3709887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37098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250" w:hanging="250"/>
      </w:pPr>
      <w:rPr>
        <w:color w:val="B52026"/>
        <w:sz w:val="12"/>
        <w:szCs w:val="1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262626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46cb6b914bcb982f0043e35fc3095ceab57edf2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/Relationships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cc21894516bfc7b13fa2e7b60e8ed2635b9f6f39.png"/><Relationship Id="rId1" Type="http://schemas.openxmlformats.org/officeDocument/2006/relationships/image" Target="media/efb57b1bfaa5089994161c2040ca6dd62b03bd25.png"/><Relationship Id="rId2" Type="http://schemas.openxmlformats.org/officeDocument/2006/relationships/image" Target="media/6e0609eadf7baca9e5187779522ea9b5a361b414.png"/><Relationship Id="rId3" Type="http://schemas.openxmlformats.org/officeDocument/2006/relationships/image" Target="media/768807d960c101ccf59e69024bd7c04908449aa8.png"/><Relationship Id="rId4" Type="http://schemas.openxmlformats.org/officeDocument/2006/relationships/image" Target="media/4ce926ed3f22f91b9132493be47d4484bd588748.png"/><Relationship Id="rId5" Type="http://schemas.openxmlformats.org/officeDocument/2006/relationships/image" Target="media/670dfd48fadeeb10981a5c4620229fedd0e293aa.png"/></Relationships>
</file>

<file path=word/_rels/footer2.xml.rels><?xml version="1.0" encoding="UTF-8"?><Relationships xmlns="http://schemas.openxmlformats.org/package/2006/relationships"><Relationship Id="rId0" Type="http://schemas.openxmlformats.org/officeDocument/2006/relationships/image" Target="media/670dfd48fadeeb10981a5c4620229fedd0e293aa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94719dce28b662567dc5d8b4690e84e371e51b8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41ffeaee98e5b6d48cc1a06e96e398f6e8c3c11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Offre d'emploi – Avocat(e) salarié(e)</dc:title>
  <dc:creator>Victimes &amp; Préjudices Avocats</dc:creator>
  <cp:lastModifiedBy>Un-named</cp:lastModifiedBy>
  <cp:revision>1</cp:revision>
  <dcterms:created xsi:type="dcterms:W3CDTF">2026-09-28T08:04:24.941Z</dcterms:created>
  <dcterms:modified xsi:type="dcterms:W3CDTF">2026-09-28T08:04:24.941Z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