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3"/>
      </w:pPr>
      <w:r>
        <w:drawing>
          <wp:inline distT="0" distB="0" distL="0" distR="0">
            <wp:extent cx="1152000" cy="55589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555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Poppins Medium" w:cs="Poppins Medium" w:eastAsia="Poppins Medium" w:hAnsi="Poppins Medium"/>
          <w:color w:val="FCAF19"/>
          <w:spacing w:val="30"/>
          <w:sz w:val="15"/>
          <w:szCs w:val="15"/>
        </w:rPr>
        <w:t xml:space="preserve">OFFRE D’EMPLOI  ·  CDI</w:t>
      </w:r>
    </w:p>
    <w:p>
      <w:pPr>
        <w:spacing w:after="110" w:line="240" w:lineRule="auto"/>
      </w:pPr>
      <w:r>
        <w:rPr>
          <w:rFonts w:ascii="Poppins SemiBold" w:cs="Poppins SemiBold" w:eastAsia="Poppins SemiBold" w:hAnsi="Poppins SemiBold"/>
          <w:color w:val="FFFFFF"/>
          <w:sz w:val="58"/>
          <w:szCs w:val="58"/>
        </w:rPr>
        <w:t xml:space="preserve">Avocat(e) </w:t>
      </w:r>
      <w:r>
        <w:rPr>
          <w:rFonts w:ascii="Poppins SemiBold" w:cs="Poppins SemiBold" w:eastAsia="Poppins SemiBold" w:hAnsi="Poppins SemiBold"/>
          <w:color w:val="FCAF19"/>
          <w:sz w:val="58"/>
          <w:szCs w:val="58"/>
        </w:rPr>
        <w:t xml:space="preserve">salarié(e)</w:t>
      </w:r>
    </w:p>
    <w:p>
      <w:pPr>
        <w:spacing w:after="100" w:line="280" w:lineRule="auto"/>
        <w:ind w:right="2948"/>
      </w:pPr>
      <w:r>
        <w:rPr>
          <w:rFonts w:ascii="Open Sans" w:cs="Open Sans" w:eastAsia="Open Sans" w:hAnsi="Open Sans"/>
          <w:color w:val="FFFFFF"/>
          <w:sz w:val="20"/>
          <w:szCs w:val="20"/>
        </w:rPr>
        <w:t xml:space="preserve">Nous recherchons aujourd’hui un(e) avocat(e) démontrant un fort leadership et une capacité à prendre à terme le relais dans l’animation du cabinet.</w:t>
      </w:r>
    </w:p>
    <w:p>
      <w:pPr>
        <w:pBdr>
          <w:left w:val="single" w:color="FCAF19" w:sz="24" w:space="8"/>
        </w:pBdr>
        <w:spacing w:after="140" w:line="255" w:lineRule="auto"/>
        <w:ind w:left="198" w:right="2948"/>
      </w:pPr>
      <w:r>
        <w:rPr>
          <w:rFonts w:ascii="Poppins SemiBold" w:cs="Poppins SemiBold" w:eastAsia="Poppins SemiBold" w:hAnsi="Poppins SemiBold"/>
          <w:color w:val="FCAF19"/>
          <w:sz w:val="24"/>
          <w:szCs w:val="24"/>
        </w:rPr>
        <w:t xml:space="preserve">Ce poste est créé dans une perspective rapide d’association.</w:t>
      </w:r>
    </w:p>
    <w:p>
      <w:pPr>
        <w:spacing w:after="0" w:line="259" w:lineRule="auto"/>
      </w:pPr>
      <w:r>
        <w:rPr>
          <w:rFonts w:ascii="Poppins Medium" w:cs="Poppins Medium" w:eastAsia="Poppins Medium" w:hAnsi="Poppins Medium"/>
          <w:color w:val="FAF0C7"/>
          <w:spacing w:val="30"/>
          <w:sz w:val="13"/>
          <w:szCs w:val="13"/>
        </w:rPr>
        <w:t xml:space="preserve">GRENOBLE (38)</w:t>
      </w:r>
      <w:r>
        <w:rPr>
          <w:rFonts w:ascii="Poppins Medium" w:cs="Poppins Medium" w:eastAsia="Poppins Medium" w:hAnsi="Poppins Medium"/>
          <w:color w:val="FAF0C7"/>
          <w:spacing w:val="30"/>
          <w:sz w:val="13"/>
          <w:szCs w:val="13"/>
        </w:rPr>
        <w:t xml:space="preserve">   ·   CDI   ·   STATUT CADRE   ·   </w:t>
      </w:r>
      <w:r>
        <w:rPr>
          <w:rFonts w:ascii="Poppins Medium" w:cs="Poppins Medium" w:eastAsia="Poppins Medium" w:hAnsi="Poppins Medium"/>
          <w:color w:val="FCAF19"/>
          <w:spacing w:val="30"/>
          <w:sz w:val="13"/>
          <w:szCs w:val="13"/>
        </w:rPr>
        <w:t xml:space="preserve">PERSPECTIVE D’ASSOCIATION</w:t>
      </w:r>
    </w:p>
    <w:p>
      <w:pPr>
        <w:spacing w:after="0" w:before="0" w:line="850" w:lineRule="exact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01</w:t>
            </w:r>
          </w:p>
          <w:p>
            <w:pPr>
              <w:spacing w:after="70" w:line="245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18"/>
                <w:szCs w:val="18"/>
              </w:rPr>
              <w:t xml:space="preserve">« Défendre les victimes n’est pas seulement un métier. C’est d’abord notre engagement. »</w:t>
            </w:r>
          </w:p>
          <w:p>
            <w:pPr>
              <w:spacing w:after="0"/>
            </w:pPr>
            <w:r>
              <w:rPr>
                <w:rFonts w:ascii="Open Sans" w:cs="Open Sans" w:eastAsia="Open Sans" w:hAnsi="Open Sans"/>
                <w:color w:val="3F4A52"/>
                <w:sz w:val="14"/>
                <w:szCs w:val="14"/>
              </w:rPr>
              <w:t xml:space="preserve">Hervé Gerbi, avocat fondateur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LE CABINET ET LE CONTEXTE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Un cabinet dédié aux victimes</w:t>
            </w:r>
          </w:p>
          <w:p>
            <w:pPr>
              <w:spacing w:after="0" w:line="276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Victimes &amp; Préjudices Avocats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 est un cabinet grenoblois et annecien </w:t>
            </w: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exclusivement dédié à la défense des victimes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 : accidents de la route, responsabilité médicale, accidents corporels et maladies du travail, accidents de la vie, droit pénal des victimes. Nous accompagnons chaque jour les victimes et leurs familles </w:t>
            </w: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jusqu’à leur complète indemnisation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.</w:t>
            </w:r>
          </w:p>
        </w:tc>
      </w:tr>
    </w:tbl>
    <w:p>
      <w:pPr>
        <w:pBdr>
          <w:bottom w:val="single" w:color="D3D9DE" w:sz="6" w:space="1"/>
        </w:pBdr>
        <w:spacing w:after="283" w:before="227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02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Prêt(e) à relever de nouveaux défis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VOS MISSIONS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De la consultation à l’indemnisation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Piloter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un portefeuille de dossiers jusqu’à l’indemnisation définitive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Construire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des stratégies d’indemnisation sur mesure : analyse des pièces médicales et juridiques, évaluation et chiffrage des préjudices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Rédiger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actes : assignations, conclusions, consultations, notes de synthèse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Préparer et conduire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expertises médicales amiables et judiciaires, en lien étroit avec les médecins de recours et les autres experts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Plaider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devant les juridictions civiles, administratives et pénales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Porter la relation client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accompagner les victimes et leurs proches à chaque étape, en interlocuteur ou interlocutrice de référence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Développer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relations avec les prescripteurs, la visibilité, les relations presse et de nouveaux axes de pratique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Faire évoluer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nos méthodes : structuration des process, outils numériques, intelligence artificielle, montée en compétence de l’équipe</w:t>
                  </w:r>
                </w:p>
              </w:tc>
            </w:tr>
          </w:tbl>
          <w:p/>
        </w:tc>
      </w:tr>
    </w:tbl>
    <w:p>
      <w:pPr>
        <w:pageBreakBefore/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03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Vous vous projetez dans un projet d’association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PROFIL RECHERCHÉ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Formation et expérience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19"/>
              <w:gridCol w:w="227"/>
              <w:gridCol w:w="2419"/>
              <w:gridCol w:w="227"/>
              <w:gridCol w:w="2419"/>
            </w:tblGrid>
            <w:tr>
              <w:trPr>
                <w:cantSplit/>
              </w:trPr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CAPA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et inscription à un barreau français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5 ans minimum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de pratique en cabinet, avec une réelle exposition au contentieux et à la relation client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+ Spécialisation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en droit du dommage corporel, en responsabilité médicale ou en droit de la santé serait un plus</w:t>
                  </w:r>
                </w:p>
              </w:tc>
            </w:tr>
          </w:tbl>
          <w:p>
            <w:pPr>
              <w:spacing w:after="198" w:before="198" w:line="265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7"/>
                <w:szCs w:val="17"/>
              </w:rPr>
              <w:t xml:space="preserve">À défaut</w:t>
            </w:r>
            <w:r>
              <w:rPr>
                <w:rFonts w:ascii="Open Sans" w:cs="Open Sans" w:eastAsia="Open Sans" w:hAnsi="Open Sans"/>
                <w:color w:val="262626"/>
                <w:sz w:val="17"/>
                <w:szCs w:val="17"/>
              </w:rPr>
              <w:t xml:space="preserve">, votre capacité à vous approprier rapidement la matière et à prendre le relais compte davantage qu’une spécialisation déjà acquise.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3742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742"/>
                  </w:tblGrid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304859" w:color="auto" w:val="clear"/>
                        <w:tcMar>
                          <w:top w:type="dxa" w:w="90"/>
                          <w:left w:type="dxa" w:w="190"/>
                          <w:bottom w:type="dxa" w:w="80"/>
                          <w:right w:type="dxa" w:w="170"/>
                        </w:tcMar>
                        <w:vAlign w:val="top"/>
                      </w:tcPr>
                      <w:p>
                        <w:pPr>
                          <w:spacing w:after="0" w:line="259" w:lineRule="auto"/>
                        </w:pPr>
                        <w:r>
                          <w:rPr>
                            <w:rFonts w:ascii="Poppins Medium" w:cs="Poppins Medium" w:eastAsia="Poppins Medium" w:hAnsi="Poppins Medium"/>
                            <w:color w:val="FFFFFF"/>
                            <w:spacing w:val="30"/>
                            <w:sz w:val="13"/>
                            <w:szCs w:val="13"/>
                          </w:rPr>
                          <w:t xml:space="preserve">COMPÉTENCES TECHNIQUES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single" w:color="D3D9DE" w:sz="4"/>
                          <w:bottom w:val="single" w:color="D3D9DE" w:sz="4"/>
                          <w:right w:val="single" w:color="D3D9DE" w:sz="4"/>
                        </w:tcBorders>
                        <w:tcMar>
                          <w:top w:type="dxa" w:w="110"/>
                          <w:left w:type="dxa" w:w="170"/>
                          <w:bottom w:type="dxa" w:w="60"/>
                          <w:right w:type="dxa" w:w="160"/>
                        </w:tcMar>
                        <w:vAlign w:val="top"/>
                      </w:tcPr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Responsabilité civile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solide maîtrise du droit de la responsabilité civile et des mécanismes d’indemnisation.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Actes et plaidoirie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aisance en rédaction d’actes et à la plaidoirie.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Pièces médicales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capacité à travailler sur pièces médicales et à dialoguer avec des experts.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Numérique et IA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appétence réelle pour les outils numériques et l’innovation juridique (digitalisation, IA).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3742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742"/>
                  </w:tblGrid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304859" w:color="auto" w:val="clear"/>
                        <w:tcMar>
                          <w:top w:type="dxa" w:w="90"/>
                          <w:left w:type="dxa" w:w="190"/>
                          <w:bottom w:type="dxa" w:w="80"/>
                          <w:right w:type="dxa" w:w="170"/>
                        </w:tcMar>
                        <w:vAlign w:val="top"/>
                      </w:tcPr>
                      <w:p>
                        <w:pPr>
                          <w:spacing w:after="0" w:line="259" w:lineRule="auto"/>
                        </w:pPr>
                        <w:r>
                          <w:rPr>
                            <w:rFonts w:ascii="Poppins Medium" w:cs="Poppins Medium" w:eastAsia="Poppins Medium" w:hAnsi="Poppins Medium"/>
                            <w:color w:val="FFFFFF"/>
                            <w:spacing w:val="30"/>
                            <w:sz w:val="13"/>
                            <w:szCs w:val="13"/>
                          </w:rPr>
                          <w:t xml:space="preserve">QUALITÉS PERSONNELLES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single" w:color="D3D9DE" w:sz="4"/>
                          <w:bottom w:val="single" w:color="D3D9DE" w:sz="4"/>
                          <w:right w:val="single" w:color="D3D9DE" w:sz="4"/>
                        </w:tcBorders>
                        <w:tcMar>
                          <w:top w:type="dxa" w:w="110"/>
                          <w:left w:type="dxa" w:w="170"/>
                          <w:bottom w:type="dxa" w:w="60"/>
                          <w:right w:type="dxa" w:w="160"/>
                        </w:tcMar>
                        <w:vAlign w:val="top"/>
                      </w:tcPr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Leadership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vous savez entraîner une équipe, arbitrer et décider.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Esprit entrepreneurial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vous prenez des initiatives et vous inscrivez dans une logique de développement.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Excellente communication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à l’écrit comme à l’oral, devant un tribunal comme face à des victimes éprouvées.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Sens affirmé de la relation client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écoute, empathie, humanité.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Autonomie, rigueur et sens du collectif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, dans un environnement exigeant et bienveillant.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pBdr>
          <w:bottom w:val="single" w:color="D3D9DE" w:sz="6" w:space="1"/>
        </w:pBdr>
        <w:spacing w:after="283" w:before="227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04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Une ambition à la hauteur de la vôtre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CE QUE NOUS VOUS OFFRONS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Une perspective d’association</w:t>
            </w:r>
          </w:p>
          <w:p>
            <w:pPr>
              <w:spacing w:after="198" w:line="276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Vous avancez vers l’association par étapes.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 Vous prendrez en charge des responsabilités progressivement.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52026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FFFFF"/>
                      <w:sz w:val="26"/>
                      <w:szCs w:val="26"/>
                    </w:rPr>
                    <w:t xml:space="preserve">218 jours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CDI, statut cadre, forfait annuel ; rémunération fixe selon profil et expérience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52026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FFFFF"/>
                      <w:sz w:val="26"/>
                      <w:szCs w:val="26"/>
                    </w:rPr>
                    <w:t xml:space="preserve">PEE et PER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avec abondement du cabinet, en plus des tickets restaurant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19"/>
              <w:gridCol w:w="227"/>
              <w:gridCol w:w="2419"/>
              <w:gridCol w:w="227"/>
              <w:gridCol w:w="2419"/>
            </w:tblGrid>
            <w:tr>
              <w:trPr>
                <w:cantSplit/>
              </w:trPr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Fort enjeu humain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des dossiers techniques, au service exclusif des victimes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Taille humaine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un cabinet équipé d’outils numériques performants et engagé dans l’innovation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Au cœur des Alpes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Grenoble et son cadre de vie montagneux</w:t>
                  </w:r>
                </w:p>
              </w:tc>
            </w:tr>
          </w:tbl>
          <w:p/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680" w:right="907" w:bottom="794" w:left="907" w:header="283" w:footer="34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oppins SemiBold">
    <w:charset w:val="00"/>
    <w:family w:val="auto"/>
    <w:pitch w:val="variable"/>
    <w:sig w:usb0="E0002AFF" w:usb1="C000247B" w:usb2="00000009" w:usb3="00000000" w:csb0="000001FF" w:csb1="00000000"/>
    <w:embedRegular r:id="rId1" w:fontKey="{D0B6A1EA-D7E5-BC55-562F-9792A09BE599}"/>
  </w:font>
  <w:font w:name="Poppins Medium">
    <w:charset w:val="00"/>
    <w:family w:val="auto"/>
    <w:pitch w:val="variable"/>
    <w:sig w:usb0="E0002AFF" w:usb1="C000247B" w:usb2="00000009" w:usb3="00000000" w:csb0="000001FF" w:csb1="00000000"/>
    <w:embedRegular r:id="rId2" w:fontKey="{3E25244F-DAA9-7030-7198-4CD1330C13FB}"/>
  </w:font>
  <w:font w:name="Open Sans">
    <w:charset w:val="00"/>
    <w:family w:val="auto"/>
    <w:pitch w:val="variable"/>
    <w:sig w:usb0="E0002AFF" w:usb1="C000247B" w:usb2="00000009" w:usb3="00000000" w:csb0="000001FF" w:csb1="00000000"/>
    <w:embedRegular r:id="rId3" w:fontKey="{D5E42DA9-98B1-A9D3-763E-DBC4F46EF41C}"/>
  </w:font>
  <w:font w:name="Open Sans SemiBold">
    <w:charset w:val="00"/>
    <w:family w:val="auto"/>
    <w:pitch w:val="variable"/>
    <w:sig w:usb0="E0002AFF" w:usb1="C000247B" w:usb2="00000009" w:usb3="00000000" w:csb0="000001FF" w:csb1="00000000"/>
    <w:embedRegular r:id="rId4" w:fontKey="{CF7B7F77-068C-C914-61D7-95BCF5D69E8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0" w:lineRule="exact"/>
    </w:pPr>
    <w:r>
      <w:drawing>
        <wp:anchor distT="0" distB="0" distL="0" distR="0" simplePos="0" allowOverlap="1" behindDoc="1" locked="1" layoutInCell="0" relativeHeight="2521016">
          <wp:simplePos x="0" y="0"/>
          <wp:positionH relativeFrom="page">
            <wp:posOffset>0</wp:posOffset>
          </wp:positionH>
          <wp:positionV relativeFrom="page">
            <wp:posOffset>8172000</wp:posOffset>
          </wp:positionV>
          <wp:extent cx="7560000" cy="2521016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25210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9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5330"/>
      <w:gridCol w:w="340"/>
      <w:gridCol w:w="4422"/>
    </w:tblGrid>
    <w:tr>
      <w:trPr>
        <w:cantSplit/>
      </w:trPr>
      <w:tc>
        <w:tcPr>
          <w:tcW w:type="dxa" w:w="533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20"/>
          </w:pPr>
          <w:r>
            <w:rPr>
              <w:rFonts w:ascii="Poppins Medium" w:cs="Poppins Medium" w:eastAsia="Poppins Medium" w:hAnsi="Poppins Medium"/>
              <w:color w:val="FCAF19"/>
              <w:spacing w:val="30"/>
              <w:sz w:val="13"/>
              <w:szCs w:val="13"/>
            </w:rPr>
            <w:t xml:space="preserve">INFORMATIONS PRATIQUES</w:t>
          </w:r>
        </w:p>
        <w:p>
          <w:pPr>
            <w:spacing w:after="40" w:line="240" w:lineRule="auto"/>
          </w:pPr>
          <w:r>
            <w:rPr>
              <w:rFonts w:ascii="Poppins SemiBold" w:cs="Poppins SemiBold" w:eastAsia="Poppins SemiBold" w:hAnsi="Poppins SemiBold"/>
              <w:color w:val="FFFFFF"/>
              <w:sz w:val="29"/>
              <w:szCs w:val="29"/>
            </w:rPr>
            <w:t xml:space="preserve">Comment candidater ?</w:t>
          </w:r>
        </w:p>
        <w:p>
          <w:pPr>
            <w:spacing w:after="0" w:line="259" w:lineRule="auto"/>
          </w:pPr>
          <w:r>
            <w:rPr>
              <w:rFonts w:ascii="Open Sans SemiBold" w:cs="Open Sans SemiBold" w:eastAsia="Open Sans SemiBold" w:hAnsi="Open Sans SemiBold"/>
              <w:color w:val="FFFFFF"/>
              <w:sz w:val="16"/>
              <w:szCs w:val="16"/>
            </w:rPr>
            <w:t xml:space="preserve">Nous étudions toutes les candidatures</w:t>
          </w:r>
          <w:r>
            <w:rPr>
              <w:rFonts w:ascii="Open Sans" w:cs="Open Sans" w:eastAsia="Open Sans" w:hAnsi="Open Sans"/>
              <w:color w:val="FAF0C7"/>
              <w:sz w:val="16"/>
              <w:szCs w:val="16"/>
            </w:rPr>
            <w:br/>
            <w:t xml:space="preserve">et nous nous engageons à répondre à chacune.</w:t>
          </w:r>
        </w:p>
      </w:tc>
      <w:tc>
        <w:tcPr>
          <w:tcW w:type="dxa" w:w="3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59" w:lineRule="auto"/>
          </w:pPr>
        </w:p>
      </w:tc>
      <w:tc>
        <w:tcPr>
          <w:tcW w:type="dxa" w:w="442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tbl>
          <w:tblPr>
            <w:tblW w:type="dxa" w:w="4422"/>
            <w:tblBorders>
              <w:top w:val="none" w:color="FFFFFF" w:sz="0"/>
              <w:left w:val="none" w:color="FFFFFF" w:sz="0"/>
              <w:bottom w:val="none" w:color="FFFFFF" w:sz="0"/>
              <w:right w:val="none" w:color="FFFFFF" w:sz="0"/>
              <w:insideH w:val="none" w:color="FFFFFF" w:sz="0"/>
              <w:insideV w:val="none" w:color="FFFFFF" w:sz="0"/>
            </w:tblBorders>
            <w:tblLayout w:type="fixed"/>
          </w:tblPr>
          <w:tblGrid>
            <w:gridCol w:w="4422"/>
          </w:tblGrid>
          <w:tr>
            <w:trPr>
              <w:cantSplit/>
            </w:trPr>
            <w:tc>
              <w:tcPr>
                <w:tcW w:type="dxa" w:w="4422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shd w:fill="FCAF19" w:color="auto" w:val="clear"/>
                <w:tcMar>
                  <w:top w:type="dxa" w:w="150"/>
                  <w:left w:type="dxa" w:w="200"/>
                  <w:bottom w:type="dxa" w:w="150"/>
                  <w:right w:type="dxa" w:w="200"/>
                </w:tcMar>
                <w:vAlign w:val="top"/>
              </w:tcPr>
              <w:tbl>
                <w:tblPr>
                  <w:tblW w:type="dxa" w:w="4022"/>
                  <w:tbl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  <w:insideH w:val="none" w:color="FFFFFF" w:sz="0"/>
                    <w:insideV w:val="none" w:color="FFFFFF" w:sz="0"/>
                  </w:tblBorders>
                  <w:tblLayout w:type="fixed"/>
                </w:tblPr>
                <w:tblGrid>
                  <w:gridCol w:w="680"/>
                  <w:gridCol w:w="3342"/>
                </w:tblGrid>
                <w:tr>
                  <w:trPr>
                    <w:cantSplit/>
                  </w:trPr>
                  <w:tc>
                    <w:tcPr>
                      <w:tcW w:type="dxa" w:w="680"/>
                      <w:tcBorders>
                        <w:top w:val="none" w:color="FFFFFF" w:sz="0"/>
                        <w:left w:val="none" w:color="FFFFFF" w:sz="0"/>
                        <w:bottom w:val="none" w:color="FFFFFF" w:sz="0"/>
                        <w:right w:val="none" w:color="FFFFFF" w:sz="0"/>
                      </w:tcBorders>
                      <w:tcMar>
                        <w:top w:type="dxa" w:w="0"/>
                        <w:left w:type="dxa" w:w="0"/>
                        <w:bottom w:type="dxa" w:w="0"/>
                        <w:right w:type="dxa" w:w="0"/>
                      </w:tcMar>
                      <w:vAlign w:val="center"/>
                    </w:tcPr>
                    <w:p>
                      <w:pPr>
                        <w:spacing w:after="0" w:line="240" w:lineRule="auto"/>
                      </w:pPr>
                      <w:r>
                        <w:drawing>
                          <wp:inline distT="0" distB="0" distL="0" distR="0">
                            <wp:extent cx="306000" cy="306000"/>
                            <wp:effectExtent t="0" r="0" b="0" l="0"/>
                            <wp:docPr id="1" name="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 cstate="none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06000" cy="3060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  <w:tc>
                    <w:tcPr>
                      <w:tcW w:type="dxa" w:w="3342"/>
                      <w:tcBorders>
                        <w:top w:val="none" w:color="FFFFFF" w:sz="0"/>
                        <w:left w:val="none" w:color="FFFFFF" w:sz="0"/>
                        <w:bottom w:val="none" w:color="FFFFFF" w:sz="0"/>
                        <w:right w:val="none" w:color="FFFFFF" w:sz="0"/>
                      </w:tcBorders>
                      <w:tcMar>
                        <w:top w:type="dxa" w:w="0"/>
                        <w:left w:type="dxa" w:w="0"/>
                        <w:bottom w:type="dxa" w:w="0"/>
                        <w:right w:type="dxa" w:w="0"/>
                      </w:tcMar>
                      <w:vAlign w:val="center"/>
                    </w:tcPr>
                    <w:p>
                      <w:pPr>
                        <w:spacing w:after="30"/>
                      </w:pPr>
                      <w:r>
                        <w:rPr>
                          <w:rFonts w:ascii="Poppins Medium" w:cs="Poppins Medium" w:eastAsia="Poppins Medium" w:hAnsi="Poppins Medium"/>
                          <w:color w:val="304859"/>
                          <w:spacing w:val="30"/>
                          <w:sz w:val="12"/>
                          <w:szCs w:val="12"/>
                        </w:rPr>
                        <w:t xml:space="preserve">ENVOYEZ CV ET LETTRE DE MOTIVATION</w:t>
                      </w:r>
                    </w:p>
                    <w:p>
                      <w:pPr>
                        <w:spacing w:after="0" w:line="240" w:lineRule="auto"/>
                      </w:pPr>
                      <w:r>
                        <w:rPr>
                          <w:rFonts w:ascii="Poppins SemiBold" w:cs="Poppins SemiBold" w:eastAsia="Poppins SemiBold" w:hAnsi="Poppins SemiBold"/>
                          <w:color w:val="304859"/>
                          <w:sz w:val="17"/>
                          <w:szCs w:val="17"/>
                        </w:rPr>
                        <w:t xml:space="preserve">recrutement@victimesetprejudices.fr</w:t>
                      </w:r>
                    </w:p>
                  </w:tc>
                </w:tr>
              </w:tbl>
              <w:p>
                <w:pPr>
                  <w:spacing w:after="0" w:before="0" w:line="17" w:lineRule="exact"/>
                </w:pPr>
              </w:p>
            </w:tc>
          </w:tr>
        </w:tbl>
        <w:p>
          <w:pPr>
            <w:spacing w:after="0" w:before="0" w:line="17" w:lineRule="exact"/>
          </w:pPr>
        </w:p>
      </w:tc>
    </w:tr>
  </w:tbl>
  <w:p>
    <w:pPr>
      <w:spacing w:after="0" w:before="0" w:line="340" w:lineRule="exact"/>
    </w:pPr>
  </w:p>
  <w:tbl>
    <w:tblPr>
      <w:tblW w:type="dxa" w:w="1009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624"/>
      <w:gridCol w:w="2513"/>
      <w:gridCol w:w="340"/>
      <w:gridCol w:w="624"/>
      <w:gridCol w:w="2513"/>
      <w:gridCol w:w="340"/>
      <w:gridCol w:w="624"/>
      <w:gridCol w:w="2514"/>
    </w:tblGrid>
    <w:tr>
      <w:trPr>
        <w:cantSplit/>
      </w:trPr>
      <w:tc>
        <w:tcPr>
          <w:tcW w:type="dxa" w:w="62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 w:lineRule="auto"/>
          </w:pPr>
          <w:r>
            <w:drawing>
              <wp:inline distT="0" distB="0" distL="0" distR="0">
                <wp:extent cx="288000" cy="28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51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1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Lieu</w:t>
          </w:r>
        </w:p>
        <w:p>
          <w:pPr>
            <w:spacing w:after="3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Grenoble (38)</w:t>
          </w:r>
        </w:p>
        <w:p>
          <w:pPr>
            <w:spacing w:after="0" w:line="24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Le cabinet est implanté à Grenoble et à Annecy</w:t>
          </w:r>
        </w:p>
      </w:tc>
      <w:tc>
        <w:tcPr>
          <w:tcW w:type="dxa" w:w="3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59" w:lineRule="auto"/>
          </w:pPr>
        </w:p>
      </w:tc>
      <w:tc>
        <w:tcPr>
          <w:tcW w:type="dxa" w:w="62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 w:lineRule="auto"/>
          </w:pPr>
          <w:r>
            <w:drawing>
              <wp:inline distT="0" distB="0" distL="0" distR="0">
                <wp:extent cx="288000" cy="28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51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1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Contrat</w:t>
          </w:r>
        </w:p>
        <w:p>
          <w:pPr>
            <w:spacing w:after="3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CDI · statut cadre</w:t>
          </w:r>
        </w:p>
        <w:p>
          <w:pPr>
            <w:spacing w:after="0" w:line="24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Avocat(e) salarié(e), forfait jours (218), association future</w:t>
          </w:r>
        </w:p>
      </w:tc>
      <w:tc>
        <w:tcPr>
          <w:tcW w:type="dxa" w:w="3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59" w:lineRule="auto"/>
          </w:pPr>
        </w:p>
      </w:tc>
      <w:tc>
        <w:tcPr>
          <w:tcW w:type="dxa" w:w="62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 w:lineRule="auto"/>
          </w:pPr>
          <w:r>
            <w:drawing>
              <wp:inline distT="0" distB="0" distL="0" distR="0">
                <wp:extent cx="288000" cy="28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51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1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Recrutement</w:t>
          </w:r>
        </w:p>
        <w:p>
          <w:pPr>
            <w:spacing w:after="3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4 étapes</w:t>
          </w:r>
        </w:p>
        <w:p>
          <w:pPr>
            <w:spacing w:after="0" w:line="24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Un échange téléphonique, puis trois entretiens au cabinet</w:t>
          </w:r>
        </w:p>
      </w:tc>
    </w:tr>
  </w:tbl>
  <w:p>
    <w:pPr>
      <w:pBdr>
        <w:top w:val="single" w:color="5B7385" w:sz="4" w:space="6"/>
      </w:pBdr>
      <w:tabs>
        <w:tab w:val="right" w:pos="10092"/>
      </w:tabs>
      <w:spacing w:after="0" w:before="283" w:line="259" w:lineRule="auto"/>
    </w:pPr>
    <w:r>
      <w:drawing>
        <wp:anchor distT="0" distB="0" distL="0" distR="0" simplePos="0" allowOverlap="1" behindDoc="1" locked="1" layoutInCell="0" relativeHeight="100000000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5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FAF0C7"/>
        <w:sz w:val="13"/>
        <w:szCs w:val="13"/>
      </w:rPr>
      <w:t xml:space="preserve">Offre d’emploi · Victimes &amp; Préjudices Avocats · victimesetprejudices.fr</w:t>
    </w:r>
    <w:r>
      <w:rPr>
        <w:rFonts w:ascii="Poppins Medium" w:cs="Poppins Medium" w:eastAsia="Poppins Medium" w:hAnsi="Poppins Medium"/>
        <w:color w:val="FAF0C7"/>
        <w:sz w:val="13"/>
        <w:szCs w:val="13"/>
      </w:rPr>
      <w:t xml:space="preserve">	2 /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  <w:spacing w:after="0" w:line="259" w:lineRule="auto"/>
    </w:pPr>
    <w:r>
      <w:drawing>
        <wp:anchor distT="0" distB="0" distL="0" distR="0" simplePos="0" allowOverlap="1" behindDoc="1" locked="1" layoutInCell="0" relativeHeight="100000000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3F4A52"/>
        <w:sz w:val="13"/>
        <w:szCs w:val="13"/>
      </w:rPr>
      <w:t xml:space="preserve">Offre d’emploi · Victimes &amp; Préjudices Avocats · recrutement@victimesetprejudices.fr</w:t>
    </w:r>
    <w:r>
      <w:rPr>
        <w:rFonts w:ascii="Poppins Medium" w:cs="Poppins Medium" w:eastAsia="Poppins Medium" w:hAnsi="Poppins Medium"/>
        <w:color w:val="3F4A52"/>
        <w:sz w:val="13"/>
        <w:szCs w:val="13"/>
      </w:rPr>
      <w:t xml:space="preserve">	1 / 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54"/>
    </w:pPr>
    <w:r>
      <w:drawing>
        <wp:anchor distT="0" distB="0" distL="0" distR="0" simplePos="0" allowOverlap="1" behindDoc="1" locked="1" layoutInCell="0" relativeHeight="53956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53956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5395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Poppins Medium" w:cs="Poppins Medium" w:eastAsia="Poppins Medium" w:hAnsi="Poppins Medium"/>
        <w:color w:val="FFFFFF"/>
        <w:spacing w:val="30"/>
        <w:sz w:val="13"/>
        <w:szCs w:val="13"/>
      </w:rPr>
      <w:t xml:space="preserve">AVOCAT(E) SALARIÉ(E)  ·  OFFRE D’EMPLOI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59" w:lineRule="auto"/>
    </w:pPr>
    <w:r>
      <w:drawing>
        <wp:anchor distT="0" distB="0" distL="0" distR="0" simplePos="0" allowOverlap="1" behindDoc="1" locked="1" layoutInCell="0" relativeHeight="370988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3709887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37098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50" w:hanging="250"/>
      </w:pPr>
      <w:rPr>
        <w:color w:val="B52026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26262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46cb6b914bcb982f0043e35fc3095ceab57edf2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7931de4c48c6b805606152dedb50d0a6f328fa3.png"/><Relationship Id="rId1" Type="http://schemas.openxmlformats.org/officeDocument/2006/relationships/image" Target="media/a65c5f1bc09985314dbfef8cea427ba9fe598dfa.png"/><Relationship Id="rId2" Type="http://schemas.openxmlformats.org/officeDocument/2006/relationships/image" Target="media/efb57b1bfaa5089994161c2040ca6dd62b03bd25.png"/><Relationship Id="rId3" Type="http://schemas.openxmlformats.org/officeDocument/2006/relationships/image" Target="media/6e0609eadf7baca9e5187779522ea9b5a361b414.png"/><Relationship Id="rId4" Type="http://schemas.openxmlformats.org/officeDocument/2006/relationships/image" Target="media/768807d960c101ccf59e69024bd7c04908449aa8.png"/><Relationship Id="rId5" Type="http://schemas.openxmlformats.org/officeDocument/2006/relationships/image" Target="media/670dfd48fadeeb10981a5c4620229fedd0e293aa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670dfd48fadeeb10981a5c4620229fedd0e293aa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94719dce28b662567dc5d8b4690e84e371e51b8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1ffeaee98e5b6d48cc1a06e96e398f6e8c3c11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Offre d'emploi – Avocat(e) salarié(e)</dc:title>
  <dc:creator>Victimes &amp; Préjudices Avocats</dc:creator>
  <cp:lastModifiedBy>Un-named</cp:lastModifiedBy>
  <cp:revision>1</cp:revision>
  <dcterms:created xsi:type="dcterms:W3CDTF">2026-09-28T11:10:53.130Z</dcterms:created>
  <dcterms:modified xsi:type="dcterms:W3CDTF">2026-09-28T11:10:53.131Z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