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PREFACTIBILIDAD</w:t>
      </w:r>
    </w:p>
    <w:p>
      <w:pPr>
        <w:pStyle w:val="Heading2"/>
      </w:pPr>
      <w:r>
        <w:t>Resumen Ejecutivo</w:t>
      </w:r>
    </w:p>
    <w:p>
      <w:r>
        <w:t>Centro de acopio y procesamiento de cacao fino de aroma en la provincia de Los Ríos</w:t>
      </w:r>
    </w:p>
    <w:p>
      <w:pPr>
        <w:pStyle w:val="Heading2"/>
      </w:pPr>
      <w:r>
        <w:t>Diagnóstico</w:t>
      </w:r>
    </w:p>
    <w:p>
      <w:r>
        <w:t>{'experiencia': 'Experiencia recuperada: PROY_0110', 'problema_central': 'Problema no identificado', 'causas': [], 'efectos': []}</w:t>
      </w:r>
    </w:p>
    <w:p>
      <w:pPr>
        <w:pStyle w:val="Heading2"/>
      </w:pPr>
      <w:r>
        <w:t>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Localización</w:t>
      </w:r>
    </w:p>
    <w:p>
      <w:r>
        <w:t>{'ubicacion_optima': 'Riobamba', 'score_integral': np.float64(62.5), 'ranking': [{'Alternativa': 'Riobamba', 'score_topsis': 0.6250076665213903}, {'Alternativa': 'Ambato', 'score_topsis': 0.5268576260356921}, {'Alternativa': 'Cuenca', 'score_topsis': 0.47705053319056506}, {'Alternativa': 'Latacunga', 'score_topsis': 0.38961973873567485}]}</w:t>
      </w:r>
    </w:p>
    <w:p>
      <w:pPr>
        <w:pStyle w:val="Heading2"/>
      </w:pPr>
      <w:r>
        <w:t>Inversión</w:t>
      </w:r>
    </w:p>
    <w:p>
      <w:r>
        <w:t>{'categoria': 'MEDIANO', 'terreno': 30000.0, 'infraestructura': 75000.0, 'equipos': 150000, 'vehiculo': 20000, 'capital_trabajo': 22500.0, 'inversion_total': 297500.0}</w:t>
      </w:r>
    </w:p>
    <w:p>
      <w:pPr>
        <w:pStyle w:val="Heading2"/>
      </w:pPr>
      <w:r>
        <w:t>VAN</w:t>
      </w:r>
    </w:p>
    <w:p>
      <w:r>
        <w:t>{'TMAR': 0.12, 'VAN': 704804.02, 'evaluacion': 'FACTIBLE'}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