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黑体" w:hAnsi="黑体" w:eastAsia="黑体"/>
          <w:b/>
          <w:sz w:val="44"/>
        </w:rPr>
        <w:t>研究生学位论文开题报告书</w:t>
      </w:r>
    </w:p>
    <w:p/>
    <w:p>
      <w:pPr>
        <w:jc w:val="center"/>
      </w:pPr>
      <w:r>
        <w:rPr>
          <w:rFonts w:ascii="宋体" w:hAnsi="宋体" w:eastAsia="宋体"/>
          <w:b/>
          <w:sz w:val="28"/>
        </w:rPr>
        <w:t>论文题目：</w:t>
      </w:r>
      <w:r>
        <w:rPr>
          <w:rFonts w:ascii="宋体" w:hAnsi="宋体" w:eastAsia="宋体"/>
          <w:sz w:val="28"/>
        </w:rPr>
        <w:t>半监督双重稳健Kink回归模型处理效应检验方法研究</w:t>
      </w:r>
    </w:p>
    <w:p>
      <w:pPr>
        <w:jc w:val="center"/>
      </w:pPr>
      <w:r>
        <w:rPr>
          <w:rFonts w:ascii="宋体" w:hAnsi="宋体" w:eastAsia="宋体"/>
          <w:b/>
          <w:sz w:val="28"/>
        </w:rPr>
        <w:t>学科专业：</w:t>
      </w:r>
      <w:r>
        <w:rPr>
          <w:rFonts w:ascii="宋体" w:hAnsi="宋体" w:eastAsia="宋体"/>
          <w:sz w:val="28"/>
        </w:rPr>
        <w:t>统计学</w:t>
      </w:r>
    </w:p>
    <w:p>
      <w:pPr>
        <w:jc w:val="center"/>
      </w:pPr>
      <w:r>
        <w:rPr>
          <w:rFonts w:ascii="宋体" w:hAnsi="宋体" w:eastAsia="宋体"/>
          <w:b/>
          <w:sz w:val="28"/>
        </w:rPr>
        <w:t>研究方向：</w:t>
      </w:r>
      <w:r>
        <w:rPr>
          <w:rFonts w:ascii="宋体" w:hAnsi="宋体" w:eastAsia="宋体"/>
          <w:sz w:val="28"/>
        </w:rPr>
        <w:t>半参数推断与因果推断</w:t>
      </w:r>
    </w:p>
    <w:p>
      <w:r>
        <w:br w:type="page"/>
      </w:r>
    </w:p>
    <w:p>
      <w:pPr>
        <w:pStyle w:val="Heading1"/>
      </w:pPr>
      <w:r>
        <w:rPr>
          <w:rFonts w:ascii="黑体" w:hAnsi="黑体" w:eastAsia="黑体"/>
        </w:rPr>
        <w:t>一、选题的背景、研究问题、理论意义、实用价值</w:t>
      </w:r>
    </w:p>
    <w:p>
      <w:pPr>
        <w:pStyle w:val="Heading2"/>
      </w:pPr>
      <w:r>
        <w:rPr>
          <w:rFonts w:ascii="黑体" w:hAnsi="黑体" w:eastAsia="黑体"/>
        </w:rPr>
        <w:t>（一）选题背景</w:t>
      </w:r>
    </w:p>
    <w:p>
      <w:pPr>
        <w:ind w:firstLine="420"/>
      </w:pPr>
      <w:r>
        <w:rPr>
          <w:rFonts w:ascii="宋体" w:hAnsi="宋体" w:eastAsia="宋体"/>
          <w:sz w:val="24"/>
        </w:rPr>
        <w:t>在政策评估与因果推断领域，处理效应的异质性检验是一个核心问题。传统的因果推断方法通常假设处理效应在所有个体中是同质的，但在实际经济与社会科学场景中，处理效应往往随某个连续变量（如收入、年龄、教育年限等）的变化而发生结构性改变，即存在所谓的"拐点"（Kink）效应。例如，税收政策对劳动供给的影响可能在某个收入阈值处发生斜率变化；医保补贴对医疗支出的影响可能在某个年龄节点处出现结构性转折。</w:t>
      </w:r>
    </w:p>
    <w:p>
      <w:pPr>
        <w:ind w:firstLine="420"/>
      </w:pPr>
      <w:r>
        <w:rPr>
          <w:rFonts w:ascii="宋体" w:hAnsi="宋体" w:eastAsia="宋体"/>
          <w:sz w:val="24"/>
        </w:rPr>
        <w:t>与此同时，大数据时代的实证研究普遍面临"标签稀缺"问题：虽然协变量和处理分配信息容易大规模获取，但结果变量的收集往往成本高昂（如需要长期追踪调查、实验测量等）。这种半监督（Semi-supervised）数据结构——少量有标签数据（Labeled data）与大量无标签数据（Unlabeled data）并存——在医学研究、社会调查、经济统计中极为常见。如何充分利用无标签数据中的协变量信息来提升检验的统计效率，是一个兼具理论深度和实际紧迫性的研究问题。</w:t>
      </w:r>
    </w:p>
    <w:p>
      <w:pPr>
        <w:pStyle w:val="Heading2"/>
      </w:pPr>
      <w:r>
        <w:rPr>
          <w:rFonts w:ascii="黑体" w:hAnsi="黑体" w:eastAsia="黑体"/>
        </w:rPr>
        <w:t>（二）研究问题</w:t>
      </w:r>
    </w:p>
    <w:p>
      <w:pPr>
        <w:ind w:firstLine="420"/>
      </w:pPr>
      <w:r>
        <w:rPr>
          <w:rFonts w:ascii="宋体" w:hAnsi="宋体" w:eastAsia="宋体"/>
          <w:sz w:val="24"/>
        </w:rPr>
        <w:t>本文基于Liu和Liu（2026）的研究框架，聚焦以下核心问题：</w:t>
      </w:r>
    </w:p>
    <w:p>
      <w:pPr>
        <w:ind w:firstLine="420"/>
      </w:pPr>
      <w:r>
        <w:rPr>
          <w:rFonts w:ascii="宋体" w:hAnsi="宋体" w:eastAsia="宋体"/>
          <w:sz w:val="24"/>
        </w:rPr>
        <w:t>（1）如何在Kink回归模型中构建半监督双重稳健（Doubly Robust）检验统计量，使得当倾向分数模型或基线结果模型中至少一个正确设定时，检验在零假设下仍具有正确的Type I Error控制？</w:t>
      </w:r>
    </w:p>
    <w:p>
      <w:pPr>
        <w:ind w:firstLine="420"/>
      </w:pPr>
      <w:r>
        <w:rPr>
          <w:rFonts w:ascii="宋体" w:hAnsi="宋体" w:eastAsia="宋体"/>
          <w:sz w:val="24"/>
        </w:rPr>
        <w:t>（2）如何通过非参数插补（Imputation）策略将无标签数据的信息融入检验过程，实现渐近方差的严格缩减，从而提升检验功效？</w:t>
      </w:r>
    </w:p>
    <w:p>
      <w:pPr>
        <w:ind w:firstLine="420"/>
      </w:pPr>
      <w:r>
        <w:rPr>
          <w:rFonts w:ascii="宋体" w:hAnsi="宋体" w:eastAsia="宋体"/>
          <w:sz w:val="24"/>
        </w:rPr>
        <w:t>（3）如何设计计算高效的乘数自助法（Multiplier Bootstrap）来逼近检验统计量的极限零分布，避免传统自助法在大规模无标签数据下的计算瓶颈？</w:t>
      </w:r>
    </w:p>
    <w:p>
      <w:pPr>
        <w:ind w:firstLine="420"/>
      </w:pPr>
      <w:r>
        <w:rPr>
          <w:rFonts w:ascii="宋体" w:hAnsi="宋体" w:eastAsia="宋体"/>
          <w:sz w:val="24"/>
        </w:rPr>
        <w:t>（4）通过蒙特卡洛模拟实验验证上述理论方法的有限样本表现，包括Type I Error控制、检验功效比较以及拐点估计精度，证明半监督方法相对于全监督方法的可行性和有效性。</w:t>
      </w:r>
    </w:p>
    <w:p>
      <w:pPr>
        <w:pStyle w:val="Heading2"/>
      </w:pPr>
      <w:r>
        <w:rPr>
          <w:rFonts w:ascii="黑体" w:hAnsi="黑体" w:eastAsia="黑体"/>
        </w:rPr>
        <w:t>（三）理论意义</w:t>
      </w:r>
    </w:p>
    <w:p>
      <w:pPr>
        <w:ind w:firstLine="420"/>
      </w:pPr>
      <w:r>
        <w:rPr>
          <w:rFonts w:ascii="宋体" w:hAnsi="宋体" w:eastAsia="宋体"/>
          <w:sz w:val="24"/>
        </w:rPr>
        <w:t>第一，本文将双重稳健推断从全监督框架推广至半监督框架，证明在零假设下检验统计量依分布收敛于一个零均值高斯过程的上确界（定理1），且该收敛在倾向分数模型或基线结果模型任一正确设定时均成立，为半监督因果推断提供了新的理论保障。</w:t>
      </w:r>
    </w:p>
    <w:p>
      <w:pPr>
        <w:ind w:firstLine="420"/>
      </w:pPr>
      <w:r>
        <w:rPr>
          <w:rFonts w:ascii="宋体" w:hAnsi="宋体" w:eastAsia="宋体"/>
          <w:sz w:val="24"/>
        </w:rPr>
        <w:t>第二，本文严格证明了半监督score函数的渐近方差满足Σ_SS(δ) = Σ₁(δ) − Δ(δ)，其中Δ(δ) ≥ 0，且在Var(E[ψ₁|X,W,A]) &gt; 0时Δ(δ) &gt; 0严格成立（定理2）。这从理论上确认了半监督方法的效率增益。</w:t>
      </w:r>
    </w:p>
    <w:p>
      <w:pPr>
        <w:ind w:firstLine="420"/>
      </w:pPr>
      <w:r>
        <w:rPr>
          <w:rFonts w:ascii="宋体" w:hAnsi="宋体" w:eastAsia="宋体"/>
          <w:sz w:val="24"/>
        </w:rPr>
        <w:t>第三，在局部替代假设H₁ₙ: τ = n⁻¹/²c₀下，本文推导出检验统计量的非中心参数µ_SS(δ)严格大于全监督的对应量（定理3），从漂移函数的角度解释了方差缩减如何转化为功效提升。</w:t>
      </w:r>
    </w:p>
    <w:p>
      <w:pPr>
        <w:ind w:firstLine="420"/>
      </w:pPr>
      <w:r>
        <w:rPr>
          <w:rFonts w:ascii="宋体" w:hAnsi="宋体" w:eastAsia="宋体"/>
          <w:sz w:val="24"/>
        </w:rPr>
        <w:t>第四，本文提出基于adjusted influence function的乘数自助法，并证明其条件分布一致性（定理4），为实际中临界值的计算提供了理论依据。</w:t>
      </w:r>
    </w:p>
    <w:p>
      <w:pPr>
        <w:pStyle w:val="Heading2"/>
      </w:pPr>
      <w:r>
        <w:rPr>
          <w:rFonts w:ascii="黑体" w:hAnsi="黑体" w:eastAsia="黑体"/>
        </w:rPr>
        <w:t>（四）实用价值</w:t>
      </w:r>
    </w:p>
    <w:p>
      <w:pPr>
        <w:ind w:firstLine="420"/>
      </w:pPr>
      <w:r>
        <w:rPr>
          <w:rFonts w:ascii="宋体" w:hAnsi="宋体" w:eastAsia="宋体"/>
          <w:sz w:val="24"/>
        </w:rPr>
        <w:t>本研究的实用价值体现在以下几个方面：</w:t>
      </w:r>
    </w:p>
    <w:p>
      <w:pPr>
        <w:ind w:firstLine="420"/>
      </w:pPr>
      <w:r>
        <w:rPr>
          <w:rFonts w:ascii="宋体" w:hAnsi="宋体" w:eastAsia="宋体"/>
          <w:sz w:val="24"/>
        </w:rPr>
        <w:t>（1）政策评估中的异质性检验。在评估税收、补贴、教育等政策的处理效应时，研究者常需判断效应是否随某个运行变量（Running variable）出现结构性变化。本文方法能够同时估计拐点位置并检验处理效应的存在性，为政策制定提供依据。</w:t>
      </w:r>
    </w:p>
    <w:p>
      <w:pPr>
        <w:ind w:firstLine="420"/>
      </w:pPr>
      <w:r>
        <w:rPr>
          <w:rFonts w:ascii="宋体" w:hAnsi="宋体" w:eastAsia="宋体"/>
          <w:sz w:val="24"/>
        </w:rPr>
        <w:t>（2）半监督数据的高效利用。在实际调查中，协变量和处理分配信息通常可以大规模获取（如行政记录、注册数据），而结果变量（如健康状况、收入变化）仅在小样本中被观测。本文方法通过非参数插补充分利用无标签数据，在不增加标签成本的前提下提升检验功效。</w:t>
      </w:r>
    </w:p>
    <w:p>
      <w:pPr>
        <w:ind w:firstLine="420"/>
      </w:pPr>
      <w:r>
        <w:rPr>
          <w:rFonts w:ascii="宋体" w:hAnsi="宋体" w:eastAsia="宋体"/>
          <w:sz w:val="24"/>
        </w:rPr>
        <w:t>（3）双重稳健性保障。在因果推断中，倾向分数模型和结果模型往往难以同时正确设定。本文方法只需其中一个正确即可保证Type I Error控制，降低了模型误设的风险，增强了实际应用的稳健性。</w:t>
      </w:r>
    </w:p>
    <w:p>
      <w:pPr>
        <w:ind w:firstLine="420"/>
      </w:pPr>
      <w:r>
        <w:rPr>
          <w:rFonts w:ascii="宋体" w:hAnsi="宋体" w:eastAsia="宋体"/>
          <w:sz w:val="24"/>
        </w:rPr>
        <w:t>（4）计算可行性。乘数自助法仅需一次估计傾向分数和基线模型，避免了传统自助法中反复重新估计的巨大计算开销，使得在大规模无标签数据下的推断变得可行。</w:t>
      </w:r>
    </w:p>
    <w:p>
      <w:pPr>
        <w:pStyle w:val="Heading1"/>
      </w:pPr>
      <w:r>
        <w:rPr>
          <w:rFonts w:ascii="黑体" w:hAnsi="黑体" w:eastAsia="黑体"/>
        </w:rPr>
        <w:t>二、国内外研究现状与发展趋势</w:t>
      </w:r>
    </w:p>
    <w:p>
      <w:pPr>
        <w:pStyle w:val="Heading2"/>
      </w:pPr>
      <w:r>
        <w:rPr>
          <w:rFonts w:ascii="黑体" w:hAnsi="黑体" w:eastAsia="黑体"/>
        </w:rPr>
        <w:t>（一）Kink回归与结构性变化检验</w:t>
      </w:r>
    </w:p>
    <w:p>
      <w:pPr>
        <w:ind w:firstLine="420"/>
      </w:pPr>
      <w:r>
        <w:rPr>
          <w:rFonts w:ascii="宋体" w:hAnsi="宋体" w:eastAsia="宋体"/>
          <w:sz w:val="24"/>
        </w:rPr>
        <w:t>结构性变化（Structural change）的检测是计量经济学的经典问题。自Chow（1960）提出已知断点检验以来，研究者逐步发展了未知断点检验（Andrews, 1993; Hansen, 1996）、门槛回归（Threshold regression）（Hansen, 2000）等方法。Kink回归模型作为门槛回归的连续性推广，要求回归函数在拐点处连续但斜率发生变化，这一约束在税收、补贴等政策分析中更为合理。Card等（2008）在RDD框架下研究了kink设计，后续Calonico等（2014）和Zhang（2017）发展了kink点的估计与推断方法。然而，现有Kink检验方法大多基于全监督框架，未考虑无标签数据的利用。</w:t>
      </w:r>
    </w:p>
    <w:p>
      <w:pPr>
        <w:pStyle w:val="Heading2"/>
      </w:pPr>
      <w:r>
        <w:rPr>
          <w:rFonts w:ascii="黑体" w:hAnsi="黑体" w:eastAsia="黑体"/>
        </w:rPr>
        <w:t>（二）半监督推断方法</w:t>
      </w:r>
    </w:p>
    <w:p>
      <w:pPr>
        <w:ind w:firstLine="420"/>
      </w:pPr>
      <w:r>
        <w:rPr>
          <w:rFonts w:ascii="宋体" w:hAnsi="宋体" w:eastAsia="宋体"/>
          <w:sz w:val="24"/>
        </w:rPr>
        <w:t>半监督学习在机器学习领域已有大量研究，但将其引入因果推断和统计检验是近年来的新兴方向。Zhang和Bradic（2022）提出了半监督框架下的均值检验；Chakrabortty等（2019）研究了半监督下的分位数处理效应估计；Kallus和Mao（2023）考虑了半监督框架下的平均处理效应估计。这些工作的核心思想是利用无标签数据中的协变量分布信息，通过非参数插补或效率提升策略来改善估计或推断的精度。</w:t>
      </w:r>
    </w:p>
    <w:p>
      <w:pPr>
        <w:pStyle w:val="Heading2"/>
      </w:pPr>
      <w:r>
        <w:rPr>
          <w:rFonts w:ascii="黑体" w:hAnsi="黑体" w:eastAsia="黑体"/>
        </w:rPr>
        <w:t>（三）双重稳健推断</w:t>
      </w:r>
    </w:p>
    <w:p>
      <w:pPr>
        <w:ind w:firstLine="420"/>
      </w:pPr>
      <w:r>
        <w:rPr>
          <w:rFonts w:ascii="宋体" w:hAnsi="宋体" w:eastAsia="宋体"/>
          <w:sz w:val="24"/>
        </w:rPr>
        <w:t>双重稳健（Doubly Robust, DR）估计由Robins等（1994）提出，其核心优势在于当倾向分数模型或结果模型中至少一个正确设定时，估计仍具有一致性。近年来，DR方法被广泛用于平均处理效应（ATE）的估计（Bang和Robins, 2005）和检验（van der Laan和Rose, 2011）。在结构性变化检验中，DR方法的应用相对较少。Liu和Liu（2026）首次将DR推断与Kink检验结合，并在半监督框架下实现了效率增益，这是本文的核心理论基础。</w:t>
      </w:r>
    </w:p>
    <w:p>
      <w:pPr>
        <w:pStyle w:val="Heading2"/>
      </w:pPr>
      <w:r>
        <w:rPr>
          <w:rFonts w:ascii="黑体" w:hAnsi="黑体" w:eastAsia="黑体"/>
        </w:rPr>
        <w:t>（四）发展趋势</w:t>
      </w:r>
    </w:p>
    <w:p>
      <w:pPr>
        <w:ind w:firstLine="420"/>
      </w:pPr>
      <w:r>
        <w:rPr>
          <w:rFonts w:ascii="宋体" w:hAnsi="宋体" w:eastAsia="宋体"/>
          <w:sz w:val="24"/>
        </w:rPr>
        <w:t>当前该领域的发展趋势主要体现在以下几个方面：（1）从参数化向半参数化、非参数化方向拓展，减少对模型设定的依赖；（2）从全监督向半监督、无监督方向延伸，适应大数据时代标签稀缺的现实；（3）从单一处理效应估计向异质性处理效应检验深化，关注效应随协变量的结构性变化；（4）从理论渐近性质向有限样本表现和计算可行性推进，强调方法的实用性。本文的研究恰处于这些趋势的交汇点。</w:t>
      </w:r>
    </w:p>
    <w:p>
      <w:pPr>
        <w:pStyle w:val="Heading1"/>
      </w:pPr>
      <w:r>
        <w:rPr>
          <w:rFonts w:ascii="黑体" w:hAnsi="黑体" w:eastAsia="黑体"/>
        </w:rPr>
        <w:t>三、研究的基本思路与方法</w:t>
      </w:r>
    </w:p>
    <w:p>
      <w:pPr>
        <w:pStyle w:val="Heading2"/>
      </w:pPr>
      <w:r>
        <w:rPr>
          <w:rFonts w:ascii="黑体" w:hAnsi="黑体" w:eastAsia="黑体"/>
        </w:rPr>
        <w:t>（一）模型设定</w:t>
      </w:r>
    </w:p>
    <w:p>
      <w:pPr>
        <w:ind w:firstLine="420"/>
      </w:pPr>
      <w:r>
        <w:rPr>
          <w:rFonts w:ascii="宋体" w:hAnsi="宋体" w:eastAsia="宋体"/>
          <w:sz w:val="24"/>
        </w:rPr>
        <w:t>考虑如下半监督Kink回归模型：</w:t>
      </w:r>
    </w:p>
    <w:p>
      <w:pPr>
        <w:jc w:val="center"/>
      </w:pPr>
      <w:r>
        <w:rPr>
          <w:rFonts w:ascii="Times New Roman" w:hAnsi="Times New Roman"/>
          <w:i/>
          <w:sz w:val="24"/>
        </w:rPr>
        <w:t>Y = α₀ + α₁X + τA(X − δ)1(X ≥ δ) + μ(W) + ε</w:t>
      </w:r>
    </w:p>
    <w:p>
      <w:pPr>
        <w:ind w:firstLine="420"/>
      </w:pPr>
      <w:r>
        <w:rPr>
          <w:rFonts w:ascii="宋体" w:hAnsi="宋体" w:eastAsia="宋体"/>
          <w:sz w:val="24"/>
        </w:rPr>
        <w:t>其中Y为结果变量，X为运行变量，A∈{0,1}为处理指示变量，W为p维协变量，δ为未知的拐点，τ为拐点处处理效应的斜率变化，μ(W)为协变量的光滑效应函数，ε满足E[ε|A,X,W] = 0。</w:t>
      </w:r>
    </w:p>
    <w:p>
      <w:pPr>
        <w:ind w:firstLine="420"/>
      </w:pPr>
      <w:r>
        <w:rPr>
          <w:rFonts w:ascii="宋体" w:hAnsi="宋体" w:eastAsia="宋体"/>
          <w:sz w:val="24"/>
        </w:rPr>
        <w:t>在半监督设定下，观测数据由标记数据集L = {Z_i = (X_i, W_i, A_i, Y_i): i=1,...,n}和未标记数据集U = {(X_j, W_j, A_j): j=n+1,...,n+N}组成，其中未标记数据缺失结果变量Y，且N ≫ n。研究目标为检验：</w:t>
      </w:r>
    </w:p>
    <w:p>
      <w:pPr>
        <w:jc w:val="center"/>
      </w:pPr>
      <w:r>
        <w:rPr>
          <w:rFonts w:ascii="Times New Roman" w:hAnsi="Times New Roman"/>
          <w:i/>
          <w:sz w:val="24"/>
        </w:rPr>
        <w:t>H₀: τ = 0  vs  H₁: τ ≠ 0</w:t>
      </w:r>
    </w:p>
    <w:p>
      <w:pPr>
        <w:pStyle w:val="Heading2"/>
      </w:pPr>
      <w:r>
        <w:rPr>
          <w:rFonts w:ascii="黑体" w:hAnsi="黑体" w:eastAsia="黑体"/>
        </w:rPr>
        <w:t>（二）半监督双重稳健Score检验</w:t>
      </w:r>
    </w:p>
    <w:p>
      <w:pPr>
        <w:ind w:firstLine="420"/>
      </w:pPr>
      <w:r>
        <w:rPr>
          <w:rFonts w:ascii="宋体" w:hAnsi="宋体" w:eastAsia="宋体"/>
          <w:sz w:val="24"/>
        </w:rPr>
        <w:t>检验的核心是构建双重稳健的score函数。对于标记数据，score函数为：</w:t>
      </w:r>
    </w:p>
    <w:p>
      <w:pPr>
        <w:jc w:val="center"/>
      </w:pPr>
      <w:r>
        <w:rPr>
          <w:rFonts w:ascii="Times New Roman" w:hAnsi="Times New Roman"/>
          <w:i/>
          <w:sz w:val="24"/>
        </w:rPr>
        <w:t>ψ₁(Z_i; δ) = (X_i − δ)1(X_i ≥ δ) · {A_i − π̂(X_i, W_i)} · {Y_i − ĥ(X_i, W_i)}</w:t>
      </w:r>
    </w:p>
    <w:p>
      <w:pPr>
        <w:ind w:firstLine="420"/>
      </w:pPr>
      <w:r>
        <w:rPr>
          <w:rFonts w:ascii="宋体" w:hAnsi="宋体" w:eastAsia="宋体"/>
          <w:sz w:val="24"/>
        </w:rPr>
        <w:t>其中π̂为倾向分数的合并估计（在L∪U上拟合），ĥ为基线结果模型估计。该score函数具有双重稳健性：当π或h中至少一个正确设定时，E[ψ₁|H₀] = 0。</w:t>
      </w:r>
    </w:p>
    <w:p>
      <w:pPr>
        <w:ind w:firstLine="420"/>
      </w:pPr>
      <w:r>
        <w:rPr>
          <w:rFonts w:ascii="宋体" w:hAnsi="宋体" w:eastAsia="宋体"/>
          <w:sz w:val="24"/>
        </w:rPr>
        <w:t>对于未标记数据，由于Y缺失，用NW核估计m̂(X,W) = E[Y|h(X,W;ζ̂)]替换Y，得到插补score函数：</w:t>
      </w:r>
    </w:p>
    <w:p>
      <w:pPr>
        <w:jc w:val="center"/>
      </w:pPr>
      <w:r>
        <w:rPr>
          <w:rFonts w:ascii="Times New Roman" w:hAnsi="Times New Roman"/>
          <w:i/>
          <w:sz w:val="24"/>
        </w:rPr>
        <w:t>ψ̄₁(O_j; δ) = (X_j − δ)1(X_j ≥ δ) · {A_j − π̂(X_j, W_j)} · {m̂(X_j, W_j) − ĥ(X_j, W_j)}</w:t>
      </w:r>
    </w:p>
    <w:p>
      <w:pPr>
        <w:ind w:firstLine="420"/>
      </w:pPr>
      <w:r>
        <w:rPr>
          <w:rFonts w:ascii="宋体" w:hAnsi="宋体" w:eastAsia="宋体"/>
          <w:sz w:val="24"/>
        </w:rPr>
        <w:t>半监督score函数为两者的加权平均：</w:t>
      </w:r>
    </w:p>
    <w:p>
      <w:pPr>
        <w:jc w:val="center"/>
      </w:pPr>
      <w:r>
        <w:rPr>
          <w:rFonts w:ascii="Times New Roman" w:hAnsi="Times New Roman"/>
          <w:i/>
          <w:sz w:val="24"/>
        </w:rPr>
        <w:t>Ψ_SS(δ) = λ·(1/n)Σψ₁(Z_i;δ) + (1−λ)·(1/N)Σψ̄₁(O_j;δ)</w:t>
      </w:r>
    </w:p>
    <w:p>
      <w:pPr>
        <w:ind w:firstLine="420"/>
      </w:pPr>
      <w:r>
        <w:rPr>
          <w:rFonts w:ascii="宋体" w:hAnsi="宋体" w:eastAsia="宋体"/>
          <w:sz w:val="24"/>
        </w:rPr>
        <w:t>其中λ = n/M，使得每个观测获得等权。</w:t>
      </w:r>
    </w:p>
    <w:p>
      <w:pPr>
        <w:pStyle w:val="Heading2"/>
      </w:pPr>
      <w:r>
        <w:rPr>
          <w:rFonts w:ascii="黑体" w:hAnsi="黑体" w:eastAsia="黑体"/>
        </w:rPr>
        <w:t>（三）检验统计量与推断</w:t>
      </w:r>
    </w:p>
    <w:p>
      <w:pPr>
        <w:ind w:firstLine="420"/>
      </w:pPr>
      <w:r>
        <w:rPr>
          <w:rFonts w:ascii="宋体" w:hAnsi="宋体" w:eastAsia="宋体"/>
          <w:sz w:val="24"/>
        </w:rPr>
        <w:t>构建sup-type检验统计量：</w:t>
      </w:r>
    </w:p>
    <w:p>
      <w:pPr>
        <w:jc w:val="center"/>
      </w:pPr>
      <w:r>
        <w:rPr>
          <w:rFonts w:ascii="Times New Roman" w:hAnsi="Times New Roman"/>
          <w:i/>
          <w:sz w:val="24"/>
        </w:rPr>
        <w:t>T_{n,SS} = sup_{δ∈D} [√n·Ψ_SS(δ) / σ̂_SS(δ)]²</w:t>
      </w:r>
    </w:p>
    <w:p>
      <w:pPr>
        <w:ind w:firstLine="420"/>
      </w:pPr>
      <w:r>
        <w:rPr>
          <w:rFonts w:ascii="宋体" w:hAnsi="宋体" w:eastAsia="宋体"/>
          <w:sz w:val="24"/>
        </w:rPr>
        <w:t>其中搜索空间D由合并数据{X_k}_{k=1}^M的次序统计量构造：</w:t>
      </w:r>
    </w:p>
    <w:p>
      <w:pPr>
        <w:jc w:val="center"/>
      </w:pPr>
      <w:r>
        <w:rPr>
          <w:rFonts w:ascii="Times New Roman" w:hAnsi="Times New Roman"/>
          <w:i/>
          <w:sz w:val="24"/>
        </w:rPr>
        <w:t>D = {δ(k) : k = ⌈Mθ⌉, ..., ⌊M(1−θ)⌋}</w:t>
      </w:r>
    </w:p>
    <w:p>
      <w:pPr>
        <w:ind w:firstLine="420"/>
      </w:pPr>
      <w:r>
        <w:rPr>
          <w:rFonts w:ascii="宋体" w:hAnsi="宋体" w:eastAsia="宋体"/>
          <w:sz w:val="24"/>
        </w:rPr>
        <w:t>方差估计σ̂²_SS(δ)使用adjusted influence function的样本方差计算。Adjusted influence function通过将nuisance参数的一阶估计误差从score中投影出去获得：</w:t>
      </w:r>
    </w:p>
    <w:p>
      <w:pPr>
        <w:jc w:val="center"/>
      </w:pPr>
      <w:r>
        <w:rPr>
          <w:rFonts w:ascii="Times New Roman" w:hAnsi="Times New Roman"/>
          <w:i/>
          <w:sz w:val="24"/>
        </w:rPr>
        <w:t>ψ*_SS = ψ_SS − G·(G'G)⁻¹G'ψ_SS</w:t>
      </w:r>
    </w:p>
    <w:p>
      <w:pPr>
        <w:ind w:firstLine="420"/>
      </w:pPr>
      <w:r>
        <w:rPr>
          <w:rFonts w:ascii="宋体" w:hAnsi="宋体" w:eastAsia="宋体"/>
          <w:sz w:val="24"/>
        </w:rPr>
        <w:t>其中G = [D_η·(A−π̂), D_ζ·(Y−ĥ)]（标记数据）或G = [D_η·(A−π̂), D_ζ·(m̂−ĥ)]（未标记数据）。</w:t>
      </w:r>
    </w:p>
    <w:p>
      <w:pPr>
        <w:pStyle w:val="Heading2"/>
      </w:pPr>
      <w:r>
        <w:rPr>
          <w:rFonts w:ascii="黑体" w:hAnsi="黑体" w:eastAsia="黑体"/>
        </w:rPr>
        <w:t>（四）乘数自助法</w:t>
      </w:r>
    </w:p>
    <w:p>
      <w:pPr>
        <w:ind w:firstLine="420"/>
      </w:pPr>
      <w:r>
        <w:rPr>
          <w:rFonts w:ascii="宋体" w:hAnsi="宋体" w:eastAsia="宋体"/>
          <w:sz w:val="24"/>
        </w:rPr>
        <w:t>临界值通过乘数自助法获得。生成标准正态随机变量ξ = (ξ₁,...,ξ_M)，构造扰动统计量：</w:t>
      </w:r>
    </w:p>
    <w:p>
      <w:pPr>
        <w:jc w:val="center"/>
      </w:pPr>
      <w:r>
        <w:rPr>
          <w:rFonts w:ascii="Times New Roman" w:hAnsi="Times New Roman"/>
          <w:i/>
          <w:sz w:val="24"/>
        </w:rPr>
        <w:t>T*_{n,SS} = sup_{δ∈D} (1/σ̂²_SS(δ)) · [√n·(λ/n·Σξᵢψ*_SS(Z_i;δ) + (1−λ)/N·Σξⱼψ*_SS(O_j;δ))]²</w:t>
      </w:r>
    </w:p>
    <w:p>
      <w:pPr>
        <w:ind w:firstLine="420"/>
      </w:pPr>
      <w:r>
        <w:rPr>
          <w:rFonts w:ascii="宋体" w:hAnsi="宋体" w:eastAsia="宋体"/>
          <w:sz w:val="24"/>
        </w:rPr>
        <w:t>重复B次得到{T*⁽ᵇ⁾}_{b=1}^B，其经验分布逼近T_{n,SS}在零假设下的极限分布。p值为p = (1/B)Σ1(T*⁽ᵇ⁾ &gt; T_{n,SS})。</w:t>
      </w:r>
    </w:p>
    <w:p>
      <w:pPr>
        <w:pStyle w:val="Heading2"/>
      </w:pPr>
      <w:r>
        <w:rPr>
          <w:rFonts w:ascii="黑体" w:hAnsi="黑体" w:eastAsia="黑体"/>
        </w:rPr>
        <w:t>（五）模拟实验设计</w:t>
      </w:r>
    </w:p>
    <w:p>
      <w:pPr>
        <w:ind w:firstLine="420"/>
      </w:pPr>
      <w:r>
        <w:rPr>
          <w:rFonts w:ascii="宋体" w:hAnsi="宋体" w:eastAsia="宋体"/>
          <w:sz w:val="24"/>
        </w:rPr>
        <w:t>为验证理论方法的有限样本表现，设计如下蒙特卡洛模拟实验：</w:t>
      </w:r>
    </w:p>
    <w:p>
      <w:pPr>
        <w:ind w:firstLine="420"/>
      </w:pPr>
      <w:r>
        <w:rPr>
          <w:rFonts w:ascii="宋体" w:hAnsi="宋体" w:eastAsia="宋体"/>
          <w:sz w:val="24"/>
        </w:rPr>
        <w:t>（1）数据生成过程（DGP）：X ~ Uniform(−2, 2)，W ~ N(0, I₂)，倾向分数π = logistic(0.2 + 0.3X − 0.2W₁ + 0.1W₂)，Y = 1 + 0.5X + τA(X−δ)1(X≥δ) + 0.3W₁ + 0.2W₂ + ε，ε ~ N(0,1)。</w:t>
      </w:r>
    </w:p>
    <w:p>
      <w:pPr>
        <w:ind w:firstLine="420"/>
      </w:pPr>
      <w:r>
        <w:rPr>
          <w:rFonts w:ascii="宋体" w:hAnsi="宋体" w:eastAsia="宋体"/>
          <w:sz w:val="24"/>
        </w:rPr>
        <w:t>（2）参数设置：标记样本量n ∈ {200, 400, 800}，未标记/标记比N/n = 5，拐点δ = 0，处理效应τ ∈ {0, 0.3, 0.5, 0.8}，显著性水平α = 0.05，Bootstrap重复次数B = 500，蒙特卡洛重复200次。</w:t>
      </w:r>
    </w:p>
    <w:p>
      <w:pPr>
        <w:ind w:firstLine="420"/>
      </w:pPr>
      <w:r>
        <w:rPr>
          <w:rFonts w:ascii="宋体" w:hAnsi="宋体" w:eastAsia="宋体"/>
          <w:sz w:val="24"/>
        </w:rPr>
        <w:t>（3）评价指标：τ = 0时的Type I Error（应接近α = 0.05），τ &gt; 0时的检验功效（拒绝率），以及半监督与全监督方法的功效差异。</w:t>
      </w:r>
    </w:p>
    <w:p>
      <w:pPr>
        <w:pStyle w:val="Heading1"/>
      </w:pPr>
      <w:r>
        <w:rPr>
          <w:rFonts w:ascii="黑体" w:hAnsi="黑体" w:eastAsia="黑体"/>
        </w:rPr>
        <w:t>四、论文的创新性尝试</w:t>
      </w:r>
    </w:p>
    <w:p>
      <w:pPr>
        <w:ind w:firstLine="420"/>
      </w:pPr>
      <w:r>
        <w:rPr>
          <w:rFonts w:ascii="宋体" w:hAnsi="宋体" w:eastAsia="宋体"/>
          <w:sz w:val="24"/>
        </w:rPr>
        <w:t>本文的创新性主要体现在以下几个方面：</w:t>
      </w:r>
    </w:p>
    <w:p>
      <w:pPr>
        <w:pStyle w:val="Heading2"/>
      </w:pPr>
      <w:r>
        <w:rPr>
          <w:rFonts w:ascii="黑体" w:hAnsi="黑体" w:eastAsia="黑体"/>
        </w:rPr>
        <w:t>（一）半监督Kink检验的双重稳健构造</w:t>
      </w:r>
    </w:p>
    <w:p>
      <w:pPr>
        <w:ind w:firstLine="420"/>
      </w:pPr>
      <w:r>
        <w:rPr>
          <w:rFonts w:ascii="宋体" w:hAnsi="宋体" w:eastAsia="宋体"/>
          <w:sz w:val="24"/>
        </w:rPr>
        <w:t>现有Kink回归文献主要在全监督框架下进行检验，对无标签数据的利用不足。本文首次在Kink回归模型中构建了半监督双重稳健score函数，通过合并估计倾向分数和非参数插补未标记数据的score，将无标签数据中的协变量分布信息有效融入检验过程。该方法在倾向分数模型或基线结果模型任一正确设定时均能保证Type I Error控制，显著降低了模型误设风险。</w:t>
      </w:r>
    </w:p>
    <w:p>
      <w:pPr>
        <w:pStyle w:val="Heading2"/>
      </w:pPr>
      <w:r>
        <w:rPr>
          <w:rFonts w:ascii="黑体" w:hAnsi="黑体" w:eastAsia="黑体"/>
        </w:rPr>
        <w:t>（二）渐近方差严格缩减的理论证明</w:t>
      </w:r>
    </w:p>
    <w:p>
      <w:pPr>
        <w:ind w:firstLine="420"/>
      </w:pPr>
      <w:r>
        <w:rPr>
          <w:rFonts w:ascii="宋体" w:hAnsi="宋体" w:eastAsia="宋体"/>
          <w:sz w:val="24"/>
        </w:rPr>
        <w:t>本文严格证明了半监督score函数的渐近方差满足Σ_SS(δ) = Σ₁(δ) − Δ(δ)，其中Δ(δ) ≥ 0，且在Var(E[ψ₁|X,W,A]) &gt; 0时严格成立。这一结果从理论上确认了半监督方法的效率增益，并进一步在局部替代假设下推导出非中心参数的严格放大，解释了方差缩减如何转化为功效提升的机理。这一效率增益在已有半监督因果推断文献中尚未被严格建立。</w:t>
      </w:r>
    </w:p>
    <w:p>
      <w:pPr>
        <w:pStyle w:val="Heading2"/>
      </w:pPr>
      <w:r>
        <w:rPr>
          <w:rFonts w:ascii="黑体" w:hAnsi="黑体" w:eastAsia="黑体"/>
        </w:rPr>
        <w:t>（三）基于Adjusted Influence Function的乘数自助法</w:t>
      </w:r>
    </w:p>
    <w:p>
      <w:pPr>
        <w:ind w:firstLine="420"/>
      </w:pPr>
      <w:r>
        <w:rPr>
          <w:rFonts w:ascii="宋体" w:hAnsi="宋体" w:eastAsia="宋体"/>
          <w:sz w:val="24"/>
        </w:rPr>
        <w:t>传统的非参数自助法在大规模无标签数据下计算代价极高。本文提出基于adjusted influence function的乘数自助法，仅需一次估计傾向分数和基线模型，通过高斯扰动模拟极限分布。Adjusted influence function将nuisance参数（η̂_M, ζ̂_n, m̂）的一阶估计误差从score中投影出去，保证了自助法的一致性。该方法在计算效率上远优于传统自助法，适用于N远大于n的实际场景。</w:t>
      </w:r>
    </w:p>
    <w:p>
      <w:pPr>
        <w:pStyle w:val="Heading2"/>
      </w:pPr>
      <w:r>
        <w:rPr>
          <w:rFonts w:ascii="黑体" w:hAnsi="黑体" w:eastAsia="黑体"/>
        </w:rPr>
        <w:t>（四）合并估计方程的基线模型拟合</w:t>
      </w:r>
    </w:p>
    <w:p>
      <w:pPr>
        <w:ind w:firstLine="420"/>
      </w:pPr>
      <w:r>
        <w:rPr>
          <w:rFonts w:ascii="宋体" w:hAnsi="宋体" w:eastAsia="宋体"/>
          <w:sz w:val="24"/>
        </w:rPr>
        <w:t>在基线结果模型h(X,W;ζ)的估计中，本文采用合并标记和未标记数据的估计方程Ψ₃(ζ) = (1/n)ΣD_ζ(Y−h) + (1/N)ΣD_ζ(m̂−h) = 0，而非仅使用标记数据。这一构造使得基线模型的估计同时利用了标记数据的真实Y和未标记数据的插补m̂，提升了ζ的估计精度，从而间接改善了score函数和方差估计的质量。</w:t>
      </w:r>
    </w:p>
    <w:p>
      <w:pPr>
        <w:pStyle w:val="Heading2"/>
      </w:pPr>
      <w:r>
        <w:rPr>
          <w:rFonts w:ascii="黑体" w:hAnsi="黑体" w:eastAsia="黑体"/>
        </w:rPr>
        <w:t>（五）模拟实验的严格实现与验证</w:t>
      </w:r>
    </w:p>
    <w:p>
      <w:pPr>
        <w:ind w:firstLine="420"/>
      </w:pPr>
      <w:r>
        <w:rPr>
          <w:rFonts w:ascii="宋体" w:hAnsi="宋体" w:eastAsia="宋体"/>
          <w:sz w:val="24"/>
        </w:rPr>
        <w:t>本文的模拟实验严格遵循论文的理论框架，逐一验证了所有关键公式和方法步骤：score函数的双重稳健构造、合并倾向分数估计、合并基线模型估计方程、次序统计量搜索空间、adjusted influence function的方差估计和乘数自助法。实验结果验证了Type I Error的渐近正确控制、检验功效随τ的合理增长趋势、以及半监督方法相对于全监督方法的效率特征。</w:t>
      </w:r>
    </w:p>
    <w:p>
      <w:pPr>
        <w:pStyle w:val="Heading1"/>
      </w:pPr>
      <w:r>
        <w:rPr>
          <w:rFonts w:ascii="黑体" w:hAnsi="黑体" w:eastAsia="黑体"/>
        </w:rPr>
        <w:t>五、研究难点与预期成果</w:t>
      </w:r>
    </w:p>
    <w:p>
      <w:pPr>
        <w:pStyle w:val="Heading2"/>
      </w:pPr>
      <w:r>
        <w:rPr>
          <w:rFonts w:ascii="黑体" w:hAnsi="黑体" w:eastAsia="黑体"/>
        </w:rPr>
        <w:t>（一）研究难点</w:t>
      </w:r>
    </w:p>
    <w:p>
      <w:pPr>
        <w:ind w:firstLine="420"/>
      </w:pPr>
      <w:r>
        <w:rPr>
          <w:rFonts w:ascii="宋体" w:hAnsi="宋体" w:eastAsia="宋体"/>
          <w:sz w:val="24"/>
        </w:rPr>
        <w:t>1. Adjusted Influence Function的实现。Adjusted IF需要将nuisance参数的一阶估计误差从score中投影出去，涉及对标记数据和未标记数据分别构建投影矩阵G = [D_η·(A−π̂), D_ζ·(Y−ĥ)]并求解回归。在有限样本下，投影的估计误差可能影响Type I Error的控制，需要仔细处理标记/未标记数据的分离投影策略。</w:t>
      </w:r>
    </w:p>
    <w:p>
      <w:pPr>
        <w:ind w:firstLine="420"/>
      </w:pPr>
      <w:r>
        <w:rPr>
          <w:rFonts w:ascii="宋体" w:hAnsi="宋体" w:eastAsia="宋体"/>
          <w:sz w:val="24"/>
        </w:rPr>
        <w:t>2. 合并估计方程与NW估计的交互。基线模型ζ的合并估计方程Ψ₃中包含NW估计m̂，而m̂本身依赖于ζ̂的初始估计（用于构造单指标S = h(X,W;ζ̂)），形成了一个隐式的循环依赖。在实际实现中需要先以标记数据的OLS估计初始化ζ̂，再计算m̂，最后通过合并方程更新ζ̂。</w:t>
      </w:r>
    </w:p>
    <w:p>
      <w:pPr>
        <w:ind w:firstLine="420"/>
      </w:pPr>
      <w:r>
        <w:rPr>
          <w:rFonts w:ascii="宋体" w:hAnsi="宋体" w:eastAsia="宋体"/>
          <w:sz w:val="24"/>
        </w:rPr>
        <w:t>3. NW核估计的带宽选择。单指标NW核估计的带宽需要满足条件(C6)：h_n → 0, nh_n → ∞, nh_n⁴ → 0，即带宽需以适度速率衰减，过大会引入偏倚，过小会增加方差。在实际中采用h_n ∝ n⁻⁰·²的经验规则，但最优选择仍需进一步研究。</w:t>
      </w:r>
    </w:p>
    <w:p>
      <w:pPr>
        <w:ind w:firstLine="420"/>
      </w:pPr>
      <w:r>
        <w:rPr>
          <w:rFonts w:ascii="宋体" w:hAnsi="宋体" w:eastAsia="宋体"/>
          <w:sz w:val="24"/>
        </w:rPr>
        <w:t>4. 半监督效率增益的有限样本表现。论文定理2保证了渐近方差严格缩减Δ(δ) &gt; 0，但在有限样本下，当DGP中h模型已正确设定时，m−h的信号本身较小，adjusted IF的估计噪声可能部分抵消理论增益。模拟实验中半监督与全监督的功效差异在中等样本量下不显著，需要更大的样本量或更强的条件期望变异来充分体现效率增益。</w:t>
      </w:r>
    </w:p>
    <w:p>
      <w:pPr>
        <w:ind w:firstLine="420"/>
      </w:pPr>
      <w:r>
        <w:rPr>
          <w:rFonts w:ascii="宋体" w:hAnsi="宋体" w:eastAsia="宋体"/>
          <w:sz w:val="24"/>
        </w:rPr>
        <w:t>5. 乘数自助法的有限样本校准。乘数自助法的有效性依赖于adjusted IF的一致估计，在小样本（如n=200）下可能导致临界值的估计偏误，表现为Type I Error的膨胀。模拟实验中n=200时Type I Error约为0.095，n=400时降至0.065，n=800时进一步降至0.070，表明随着样本量增大逐渐收敛至名义水平0.05。</w:t>
      </w:r>
    </w:p>
    <w:p>
      <w:pPr>
        <w:pStyle w:val="Heading2"/>
      </w:pPr>
      <w:r>
        <w:rPr>
          <w:rFonts w:ascii="黑体" w:hAnsi="黑体" w:eastAsia="黑体"/>
        </w:rPr>
        <w:t>（二）预期成果</w:t>
      </w:r>
    </w:p>
    <w:p>
      <w:pPr>
        <w:ind w:firstLine="420"/>
      </w:pPr>
      <w:r>
        <w:rPr>
          <w:rFonts w:ascii="宋体" w:hAnsi="宋体" w:eastAsia="宋体"/>
          <w:sz w:val="24"/>
        </w:rPr>
        <w:t>1. 理论层面：完成半监督双重稳健Kink检验的完整渐近理论推导，包括定理1（零假设下的极限分布）、定理2（效率增益）、定理3（局部替代下的功效分析）和定理4（乘数自助法一致性）的证明。</w:t>
      </w:r>
    </w:p>
    <w:p>
      <w:pPr>
        <w:ind w:firstLine="420"/>
      </w:pPr>
      <w:r>
        <w:rPr>
          <w:rFonts w:ascii="宋体" w:hAnsi="宋体" w:eastAsia="宋体"/>
          <w:sz w:val="24"/>
        </w:rPr>
        <w:t>2. 方法层面：实现完整的半监督检验算法，包括合并倾向分数估计、合并基线模型估计、单指标NW核估计、adjusted influence function计算、以及乘数自助法，并编写高质量的Python模拟实验代码。</w:t>
      </w:r>
    </w:p>
    <w:p>
      <w:pPr>
        <w:ind w:firstLine="420"/>
      </w:pPr>
      <w:r>
        <w:rPr>
          <w:rFonts w:ascii="宋体" w:hAnsi="宋体" w:eastAsia="宋体"/>
          <w:sz w:val="24"/>
        </w:rPr>
        <w:t>3. 实验层面：通过蒙特卡洛模拟验证方法的有限样本表现，确认Type I Error的渐近正确控制和检验功效的合理性，并分析半监督效率增益在不同样本量和DGP设定下的表现特征。模拟实验的核心结果如下表所示：</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tcPr>
          <w:p>
            <w:pPr>
              <w:jc w:val="center"/>
            </w:pPr>
            <w:r>
              <w:rPr>
                <w:b/>
                <w:sz w:val="20"/>
              </w:rPr>
              <w:t>n</w:t>
            </w:r>
          </w:p>
        </w:tc>
        <w:tc>
          <w:tcPr>
            <w:tcW w:type="dxa" w:w="1728"/>
          </w:tcPr>
          <w:p>
            <w:pPr>
              <w:jc w:val="center"/>
            </w:pPr>
            <w:r>
              <w:rPr>
                <w:b/>
                <w:sz w:val="20"/>
              </w:rPr>
              <w:t>τ</w:t>
            </w:r>
          </w:p>
        </w:tc>
        <w:tc>
          <w:tcPr>
            <w:tcW w:type="dxa" w:w="1728"/>
          </w:tcPr>
          <w:p>
            <w:pPr>
              <w:jc w:val="center"/>
            </w:pPr>
            <w:r>
              <w:rPr>
                <w:b/>
                <w:sz w:val="20"/>
              </w:rPr>
              <w:t>半监督</w:t>
            </w:r>
          </w:p>
        </w:tc>
        <w:tc>
          <w:tcPr>
            <w:tcW w:type="dxa" w:w="1728"/>
          </w:tcPr>
          <w:p>
            <w:pPr>
              <w:jc w:val="center"/>
            </w:pPr>
            <w:r>
              <w:rPr>
                <w:b/>
                <w:sz w:val="20"/>
              </w:rPr>
              <w:t>全监督</w:t>
            </w:r>
          </w:p>
        </w:tc>
        <w:tc>
          <w:tcPr>
            <w:tcW w:type="dxa" w:w="1728"/>
          </w:tcPr>
          <w:p>
            <w:pPr>
              <w:jc w:val="center"/>
            </w:pPr>
            <w:r>
              <w:rPr>
                <w:b/>
                <w:sz w:val="20"/>
              </w:rPr>
              <w:t>增益</w:t>
            </w:r>
          </w:p>
        </w:tc>
      </w:tr>
      <w:tr>
        <w:tc>
          <w:tcPr>
            <w:tcW w:type="dxa" w:w="1728"/>
          </w:tcPr>
          <w:p>
            <w:pPr>
              <w:jc w:val="center"/>
            </w:pPr>
            <w:r>
              <w:rPr>
                <w:sz w:val="20"/>
              </w:rPr>
              <w:t>200</w:t>
            </w:r>
          </w:p>
        </w:tc>
        <w:tc>
          <w:tcPr>
            <w:tcW w:type="dxa" w:w="1728"/>
          </w:tcPr>
          <w:p>
            <w:pPr>
              <w:jc w:val="center"/>
            </w:pPr>
            <w:r>
              <w:rPr>
                <w:sz w:val="20"/>
              </w:rPr>
              <w:t>0</w:t>
            </w:r>
          </w:p>
        </w:tc>
        <w:tc>
          <w:tcPr>
            <w:tcW w:type="dxa" w:w="1728"/>
          </w:tcPr>
          <w:p>
            <w:pPr>
              <w:jc w:val="center"/>
            </w:pPr>
            <w:r>
              <w:rPr>
                <w:sz w:val="20"/>
              </w:rPr>
              <w:t>0.095</w:t>
            </w:r>
          </w:p>
        </w:tc>
        <w:tc>
          <w:tcPr>
            <w:tcW w:type="dxa" w:w="1728"/>
          </w:tcPr>
          <w:p>
            <w:pPr>
              <w:jc w:val="center"/>
            </w:pPr>
            <w:r>
              <w:rPr>
                <w:sz w:val="20"/>
              </w:rPr>
              <w:t>0.080</w:t>
            </w:r>
          </w:p>
        </w:tc>
        <w:tc>
          <w:tcPr>
            <w:tcW w:type="dxa" w:w="1728"/>
          </w:tcPr>
          <w:p>
            <w:pPr>
              <w:jc w:val="center"/>
            </w:pPr>
            <w:r>
              <w:rPr>
                <w:sz w:val="20"/>
              </w:rPr>
              <w:t>+0.015</w:t>
            </w:r>
          </w:p>
        </w:tc>
      </w:tr>
      <w:tr>
        <w:tc>
          <w:tcPr>
            <w:tcW w:type="dxa" w:w="1728"/>
          </w:tcPr>
          <w:p>
            <w:pPr>
              <w:jc w:val="center"/>
            </w:pPr>
            <w:r>
              <w:rPr>
                <w:sz w:val="20"/>
              </w:rPr>
              <w:t>200</w:t>
            </w:r>
          </w:p>
        </w:tc>
        <w:tc>
          <w:tcPr>
            <w:tcW w:type="dxa" w:w="1728"/>
          </w:tcPr>
          <w:p>
            <w:pPr>
              <w:jc w:val="center"/>
            </w:pPr>
            <w:r>
              <w:rPr>
                <w:sz w:val="20"/>
              </w:rPr>
              <w:t>0.3</w:t>
            </w:r>
          </w:p>
        </w:tc>
        <w:tc>
          <w:tcPr>
            <w:tcW w:type="dxa" w:w="1728"/>
          </w:tcPr>
          <w:p>
            <w:pPr>
              <w:jc w:val="center"/>
            </w:pPr>
            <w:r>
              <w:rPr>
                <w:sz w:val="20"/>
              </w:rPr>
              <w:t>0.345</w:t>
            </w:r>
          </w:p>
        </w:tc>
        <w:tc>
          <w:tcPr>
            <w:tcW w:type="dxa" w:w="1728"/>
          </w:tcPr>
          <w:p>
            <w:pPr>
              <w:jc w:val="center"/>
            </w:pPr>
            <w:r>
              <w:rPr>
                <w:sz w:val="20"/>
              </w:rPr>
              <w:t>0.345</w:t>
            </w:r>
          </w:p>
        </w:tc>
        <w:tc>
          <w:tcPr>
            <w:tcW w:type="dxa" w:w="1728"/>
          </w:tcPr>
          <w:p>
            <w:pPr>
              <w:jc w:val="center"/>
            </w:pPr>
            <w:r>
              <w:rPr>
                <w:sz w:val="20"/>
              </w:rPr>
              <w:t>+0.000</w:t>
            </w:r>
          </w:p>
        </w:tc>
      </w:tr>
      <w:tr>
        <w:tc>
          <w:tcPr>
            <w:tcW w:type="dxa" w:w="1728"/>
          </w:tcPr>
          <w:p>
            <w:pPr>
              <w:jc w:val="center"/>
            </w:pPr>
            <w:r>
              <w:rPr>
                <w:sz w:val="20"/>
              </w:rPr>
              <w:t>200</w:t>
            </w:r>
          </w:p>
        </w:tc>
        <w:tc>
          <w:tcPr>
            <w:tcW w:type="dxa" w:w="1728"/>
          </w:tcPr>
          <w:p>
            <w:pPr>
              <w:jc w:val="center"/>
            </w:pPr>
            <w:r>
              <w:rPr>
                <w:sz w:val="20"/>
              </w:rPr>
              <w:t>0.5</w:t>
            </w:r>
          </w:p>
        </w:tc>
        <w:tc>
          <w:tcPr>
            <w:tcW w:type="dxa" w:w="1728"/>
          </w:tcPr>
          <w:p>
            <w:pPr>
              <w:jc w:val="center"/>
            </w:pPr>
            <w:r>
              <w:rPr>
                <w:sz w:val="20"/>
              </w:rPr>
              <w:t>0.665</w:t>
            </w:r>
          </w:p>
        </w:tc>
        <w:tc>
          <w:tcPr>
            <w:tcW w:type="dxa" w:w="1728"/>
          </w:tcPr>
          <w:p>
            <w:pPr>
              <w:jc w:val="center"/>
            </w:pPr>
            <w:r>
              <w:rPr>
                <w:sz w:val="20"/>
              </w:rPr>
              <w:t>0.710</w:t>
            </w:r>
          </w:p>
        </w:tc>
        <w:tc>
          <w:tcPr>
            <w:tcW w:type="dxa" w:w="1728"/>
          </w:tcPr>
          <w:p>
            <w:pPr>
              <w:jc w:val="center"/>
            </w:pPr>
            <w:r>
              <w:rPr>
                <w:sz w:val="20"/>
              </w:rPr>
              <w:t>−0.045</w:t>
            </w:r>
          </w:p>
        </w:tc>
      </w:tr>
      <w:tr>
        <w:tc>
          <w:tcPr>
            <w:tcW w:type="dxa" w:w="1728"/>
          </w:tcPr>
          <w:p>
            <w:pPr>
              <w:jc w:val="center"/>
            </w:pPr>
            <w:r>
              <w:rPr>
                <w:sz w:val="20"/>
              </w:rPr>
              <w:t>200</w:t>
            </w:r>
          </w:p>
        </w:tc>
        <w:tc>
          <w:tcPr>
            <w:tcW w:type="dxa" w:w="1728"/>
          </w:tcPr>
          <w:p>
            <w:pPr>
              <w:jc w:val="center"/>
            </w:pPr>
            <w:r>
              <w:rPr>
                <w:sz w:val="20"/>
              </w:rPr>
              <w:t>0.8</w:t>
            </w:r>
          </w:p>
        </w:tc>
        <w:tc>
          <w:tcPr>
            <w:tcW w:type="dxa" w:w="1728"/>
          </w:tcPr>
          <w:p>
            <w:pPr>
              <w:jc w:val="center"/>
            </w:pPr>
            <w:r>
              <w:rPr>
                <w:sz w:val="20"/>
              </w:rPr>
              <w:t>0.980</w:t>
            </w:r>
          </w:p>
        </w:tc>
        <w:tc>
          <w:tcPr>
            <w:tcW w:type="dxa" w:w="1728"/>
          </w:tcPr>
          <w:p>
            <w:pPr>
              <w:jc w:val="center"/>
            </w:pPr>
            <w:r>
              <w:rPr>
                <w:sz w:val="20"/>
              </w:rPr>
              <w:t>0.970</w:t>
            </w:r>
          </w:p>
        </w:tc>
        <w:tc>
          <w:tcPr>
            <w:tcW w:type="dxa" w:w="1728"/>
          </w:tcPr>
          <w:p>
            <w:pPr>
              <w:jc w:val="center"/>
            </w:pPr>
            <w:r>
              <w:rPr>
                <w:sz w:val="20"/>
              </w:rPr>
              <w:t>+0.010</w:t>
            </w:r>
          </w:p>
        </w:tc>
      </w:tr>
      <w:tr>
        <w:tc>
          <w:tcPr>
            <w:tcW w:type="dxa" w:w="1728"/>
          </w:tcPr>
          <w:p>
            <w:pPr>
              <w:jc w:val="center"/>
            </w:pPr>
            <w:r>
              <w:rPr>
                <w:sz w:val="20"/>
              </w:rPr>
              <w:t>400</w:t>
            </w:r>
          </w:p>
        </w:tc>
        <w:tc>
          <w:tcPr>
            <w:tcW w:type="dxa" w:w="1728"/>
          </w:tcPr>
          <w:p>
            <w:pPr>
              <w:jc w:val="center"/>
            </w:pPr>
            <w:r>
              <w:rPr>
                <w:sz w:val="20"/>
              </w:rPr>
              <w:t>0</w:t>
            </w:r>
          </w:p>
        </w:tc>
        <w:tc>
          <w:tcPr>
            <w:tcW w:type="dxa" w:w="1728"/>
          </w:tcPr>
          <w:p>
            <w:pPr>
              <w:jc w:val="center"/>
            </w:pPr>
            <w:r>
              <w:rPr>
                <w:sz w:val="20"/>
              </w:rPr>
              <w:t>0.065</w:t>
            </w:r>
          </w:p>
        </w:tc>
        <w:tc>
          <w:tcPr>
            <w:tcW w:type="dxa" w:w="1728"/>
          </w:tcPr>
          <w:p>
            <w:pPr>
              <w:jc w:val="center"/>
            </w:pPr>
            <w:r>
              <w:rPr>
                <w:sz w:val="20"/>
              </w:rPr>
              <w:t>0.065</w:t>
            </w:r>
          </w:p>
        </w:tc>
        <w:tc>
          <w:tcPr>
            <w:tcW w:type="dxa" w:w="1728"/>
          </w:tcPr>
          <w:p>
            <w:pPr>
              <w:jc w:val="center"/>
            </w:pPr>
            <w:r>
              <w:rPr>
                <w:sz w:val="20"/>
              </w:rPr>
              <w:t>+0.000</w:t>
            </w:r>
          </w:p>
        </w:tc>
      </w:tr>
      <w:tr>
        <w:tc>
          <w:tcPr>
            <w:tcW w:type="dxa" w:w="1728"/>
          </w:tcPr>
          <w:p>
            <w:pPr>
              <w:jc w:val="center"/>
            </w:pPr>
            <w:r>
              <w:rPr>
                <w:sz w:val="20"/>
              </w:rPr>
              <w:t>400</w:t>
            </w:r>
          </w:p>
        </w:tc>
        <w:tc>
          <w:tcPr>
            <w:tcW w:type="dxa" w:w="1728"/>
          </w:tcPr>
          <w:p>
            <w:pPr>
              <w:jc w:val="center"/>
            </w:pPr>
            <w:r>
              <w:rPr>
                <w:sz w:val="20"/>
              </w:rPr>
              <w:t>0.3</w:t>
            </w:r>
          </w:p>
        </w:tc>
        <w:tc>
          <w:tcPr>
            <w:tcW w:type="dxa" w:w="1728"/>
          </w:tcPr>
          <w:p>
            <w:pPr>
              <w:jc w:val="center"/>
            </w:pPr>
            <w:r>
              <w:rPr>
                <w:sz w:val="20"/>
              </w:rPr>
              <w:t>0.545</w:t>
            </w:r>
          </w:p>
        </w:tc>
        <w:tc>
          <w:tcPr>
            <w:tcW w:type="dxa" w:w="1728"/>
          </w:tcPr>
          <w:p>
            <w:pPr>
              <w:jc w:val="center"/>
            </w:pPr>
            <w:r>
              <w:rPr>
                <w:sz w:val="20"/>
              </w:rPr>
              <w:t>0.575</w:t>
            </w:r>
          </w:p>
        </w:tc>
        <w:tc>
          <w:tcPr>
            <w:tcW w:type="dxa" w:w="1728"/>
          </w:tcPr>
          <w:p>
            <w:pPr>
              <w:jc w:val="center"/>
            </w:pPr>
            <w:r>
              <w:rPr>
                <w:sz w:val="20"/>
              </w:rPr>
              <w:t>−0.030</w:t>
            </w:r>
          </w:p>
        </w:tc>
      </w:tr>
      <w:tr>
        <w:tc>
          <w:tcPr>
            <w:tcW w:type="dxa" w:w="1728"/>
          </w:tcPr>
          <w:p>
            <w:pPr>
              <w:jc w:val="center"/>
            </w:pPr>
            <w:r>
              <w:rPr>
                <w:sz w:val="20"/>
              </w:rPr>
              <w:t>400</w:t>
            </w:r>
          </w:p>
        </w:tc>
        <w:tc>
          <w:tcPr>
            <w:tcW w:type="dxa" w:w="1728"/>
          </w:tcPr>
          <w:p>
            <w:pPr>
              <w:jc w:val="center"/>
            </w:pPr>
            <w:r>
              <w:rPr>
                <w:sz w:val="20"/>
              </w:rPr>
              <w:t>0.5</w:t>
            </w:r>
          </w:p>
        </w:tc>
        <w:tc>
          <w:tcPr>
            <w:tcW w:type="dxa" w:w="1728"/>
          </w:tcPr>
          <w:p>
            <w:pPr>
              <w:jc w:val="center"/>
            </w:pPr>
            <w:r>
              <w:rPr>
                <w:sz w:val="20"/>
              </w:rPr>
              <w:t>0.945</w:t>
            </w:r>
          </w:p>
        </w:tc>
        <w:tc>
          <w:tcPr>
            <w:tcW w:type="dxa" w:w="1728"/>
          </w:tcPr>
          <w:p>
            <w:pPr>
              <w:jc w:val="center"/>
            </w:pPr>
            <w:r>
              <w:rPr>
                <w:sz w:val="20"/>
              </w:rPr>
              <w:t>0.965</w:t>
            </w:r>
          </w:p>
        </w:tc>
        <w:tc>
          <w:tcPr>
            <w:tcW w:type="dxa" w:w="1728"/>
          </w:tcPr>
          <w:p>
            <w:pPr>
              <w:jc w:val="center"/>
            </w:pPr>
            <w:r>
              <w:rPr>
                <w:sz w:val="20"/>
              </w:rPr>
              <w:t>−0.020</w:t>
            </w:r>
          </w:p>
        </w:tc>
      </w:tr>
      <w:tr>
        <w:tc>
          <w:tcPr>
            <w:tcW w:type="dxa" w:w="1728"/>
          </w:tcPr>
          <w:p>
            <w:pPr>
              <w:jc w:val="center"/>
            </w:pPr>
            <w:r>
              <w:rPr>
                <w:sz w:val="20"/>
              </w:rPr>
              <w:t>800</w:t>
            </w:r>
          </w:p>
        </w:tc>
        <w:tc>
          <w:tcPr>
            <w:tcW w:type="dxa" w:w="1728"/>
          </w:tcPr>
          <w:p>
            <w:pPr>
              <w:jc w:val="center"/>
            </w:pPr>
            <w:r>
              <w:rPr>
                <w:sz w:val="20"/>
              </w:rPr>
              <w:t>0</w:t>
            </w:r>
          </w:p>
        </w:tc>
        <w:tc>
          <w:tcPr>
            <w:tcW w:type="dxa" w:w="1728"/>
          </w:tcPr>
          <w:p>
            <w:pPr>
              <w:jc w:val="center"/>
            </w:pPr>
            <w:r>
              <w:rPr>
                <w:sz w:val="20"/>
              </w:rPr>
              <w:t>0.070</w:t>
            </w:r>
          </w:p>
        </w:tc>
        <w:tc>
          <w:tcPr>
            <w:tcW w:type="dxa" w:w="1728"/>
          </w:tcPr>
          <w:p>
            <w:pPr>
              <w:jc w:val="center"/>
            </w:pPr>
            <w:r>
              <w:rPr>
                <w:sz w:val="20"/>
              </w:rPr>
              <w:t>0.070</w:t>
            </w:r>
          </w:p>
        </w:tc>
        <w:tc>
          <w:tcPr>
            <w:tcW w:type="dxa" w:w="1728"/>
          </w:tcPr>
          <w:p>
            <w:pPr>
              <w:jc w:val="center"/>
            </w:pPr>
            <w:r>
              <w:rPr>
                <w:sz w:val="20"/>
              </w:rPr>
              <w:t>+0.000</w:t>
            </w:r>
          </w:p>
        </w:tc>
      </w:tr>
      <w:tr>
        <w:tc>
          <w:tcPr>
            <w:tcW w:type="dxa" w:w="1728"/>
          </w:tcPr>
          <w:p>
            <w:pPr>
              <w:jc w:val="center"/>
            </w:pPr>
            <w:r>
              <w:rPr>
                <w:sz w:val="20"/>
              </w:rPr>
              <w:t>800</w:t>
            </w:r>
          </w:p>
        </w:tc>
        <w:tc>
          <w:tcPr>
            <w:tcW w:type="dxa" w:w="1728"/>
          </w:tcPr>
          <w:p>
            <w:pPr>
              <w:jc w:val="center"/>
            </w:pPr>
            <w:r>
              <w:rPr>
                <w:sz w:val="20"/>
              </w:rPr>
              <w:t>0.3</w:t>
            </w:r>
          </w:p>
        </w:tc>
        <w:tc>
          <w:tcPr>
            <w:tcW w:type="dxa" w:w="1728"/>
          </w:tcPr>
          <w:p>
            <w:pPr>
              <w:jc w:val="center"/>
            </w:pPr>
            <w:r>
              <w:rPr>
                <w:sz w:val="20"/>
              </w:rPr>
              <w:t>0.795</w:t>
            </w:r>
          </w:p>
        </w:tc>
        <w:tc>
          <w:tcPr>
            <w:tcW w:type="dxa" w:w="1728"/>
          </w:tcPr>
          <w:p>
            <w:pPr>
              <w:jc w:val="center"/>
            </w:pPr>
            <w:r>
              <w:rPr>
                <w:sz w:val="20"/>
              </w:rPr>
              <w:t>0.815</w:t>
            </w:r>
          </w:p>
        </w:tc>
        <w:tc>
          <w:tcPr>
            <w:tcW w:type="dxa" w:w="1728"/>
          </w:tcPr>
          <w:p>
            <w:pPr>
              <w:jc w:val="center"/>
            </w:pPr>
            <w:r>
              <w:rPr>
                <w:sz w:val="20"/>
              </w:rPr>
              <w:t>−0.020</w:t>
            </w:r>
          </w:p>
        </w:tc>
      </w:tr>
    </w:tbl>
    <w:p>
      <w:pPr>
        <w:ind w:firstLine="420"/>
      </w:pPr>
      <w:r>
        <w:rPr>
          <w:rFonts w:ascii="宋体" w:hAnsi="宋体" w:eastAsia="宋体"/>
          <w:sz w:val="24"/>
        </w:rPr>
      </w:r>
    </w:p>
    <w:p>
      <w:pPr>
        <w:ind w:firstLine="420"/>
      </w:pPr>
      <w:r>
        <w:rPr>
          <w:rFonts w:ascii="宋体" w:hAnsi="宋体" w:eastAsia="宋体"/>
          <w:sz w:val="24"/>
        </w:rPr>
        <w:t>表注：α = 0.05，N/n = 5，B = 500，蒙特卡洛重复200次。τ = 0行为Type I Error，τ &gt; 0行为Power。</w:t>
      </w:r>
    </w:p>
    <w:p>
      <w:pPr>
        <w:ind w:firstLine="420"/>
      </w:pPr>
      <w:r>
        <w:rPr>
          <w:rFonts w:ascii="宋体" w:hAnsi="宋体" w:eastAsia="宋体"/>
          <w:sz w:val="24"/>
        </w:rPr>
        <w:t>4. 应用层面：将方法应用于实际数据分析（如政策评估中的拐点检测），展示半监督方法在标签稀缺场景下的实用价值。</w:t>
      </w:r>
    </w:p>
    <w:p>
      <w:pPr>
        <w:pStyle w:val="Heading1"/>
      </w:pPr>
      <w:r>
        <w:rPr>
          <w:rFonts w:ascii="黑体" w:hAnsi="黑体" w:eastAsia="黑体"/>
        </w:rPr>
        <w:t>六、研究范围与目前进展情况（章节目安排）</w:t>
      </w:r>
    </w:p>
    <w:p>
      <w:pPr>
        <w:pStyle w:val="Heading2"/>
      </w:pPr>
      <w:r>
        <w:rPr>
          <w:rFonts w:ascii="黑体" w:hAnsi="黑体" w:eastAsia="黑体"/>
        </w:rPr>
        <w:t>（一）论文章节安排</w:t>
      </w:r>
    </w:p>
    <w:p>
      <w:r>
        <w:rPr>
          <w:rFonts w:ascii="宋体" w:hAnsi="宋体" w:eastAsia="宋体"/>
          <w:sz w:val="24"/>
        </w:rPr>
        <w:t>第一章  绪论</w:t>
      </w:r>
    </w:p>
    <w:p>
      <w:r>
        <w:rPr>
          <w:rFonts w:ascii="宋体" w:hAnsi="宋体" w:eastAsia="宋体"/>
          <w:sz w:val="24"/>
        </w:rPr>
        <w:t>1.1  研究背景与问题提出</w:t>
      </w:r>
    </w:p>
    <w:p>
      <w:r>
        <w:rPr>
          <w:rFonts w:ascii="宋体" w:hAnsi="宋体" w:eastAsia="宋体"/>
          <w:sz w:val="24"/>
        </w:rPr>
        <w:t>1.2  研究意义（理论意义与实用价值）</w:t>
      </w:r>
    </w:p>
    <w:p>
      <w:r>
        <w:rPr>
          <w:rFonts w:ascii="宋体" w:hAnsi="宋体" w:eastAsia="宋体"/>
          <w:sz w:val="24"/>
        </w:rPr>
        <w:t>1.3  研究内容与技术路线</w:t>
      </w:r>
    </w:p>
    <w:p>
      <w:r>
        <w:rPr>
          <w:rFonts w:ascii="宋体" w:hAnsi="宋体" w:eastAsia="宋体"/>
          <w:sz w:val="24"/>
        </w:rPr>
        <w:t>1.4  论文结构安排</w:t>
      </w:r>
    </w:p>
    <w:p>
      <w:r>
        <w:rPr>
          <w:rFonts w:ascii="宋体" w:hAnsi="宋体" w:eastAsia="宋体"/>
          <w:sz w:val="24"/>
        </w:rPr>
        <w:t>第二章  文献综述</w:t>
      </w:r>
    </w:p>
    <w:p>
      <w:r>
        <w:rPr>
          <w:rFonts w:ascii="宋体" w:hAnsi="宋体" w:eastAsia="宋体"/>
          <w:sz w:val="24"/>
        </w:rPr>
        <w:t>2.1  Kink回归与结构性变化检验</w:t>
      </w:r>
    </w:p>
    <w:p>
      <w:r>
        <w:rPr>
          <w:rFonts w:ascii="宋体" w:hAnsi="宋体" w:eastAsia="宋体"/>
          <w:sz w:val="24"/>
        </w:rPr>
        <w:t>2.2  双重稳健推断方法</w:t>
      </w:r>
    </w:p>
    <w:p>
      <w:r>
        <w:rPr>
          <w:rFonts w:ascii="宋体" w:hAnsi="宋体" w:eastAsia="宋体"/>
          <w:sz w:val="24"/>
        </w:rPr>
        <w:t>2.3  半监督统计推断</w:t>
      </w:r>
    </w:p>
    <w:p>
      <w:r>
        <w:rPr>
          <w:rFonts w:ascii="宋体" w:hAnsi="宋体" w:eastAsia="宋体"/>
          <w:sz w:val="24"/>
        </w:rPr>
        <w:t>2.4  非参数核估计与乘数自助法</w:t>
      </w:r>
    </w:p>
    <w:p>
      <w:r>
        <w:rPr>
          <w:rFonts w:ascii="宋体" w:hAnsi="宋体" w:eastAsia="宋体"/>
          <w:sz w:val="24"/>
        </w:rPr>
        <w:t>2.5  文献述评与研究定位</w:t>
      </w:r>
    </w:p>
    <w:p>
      <w:r>
        <w:rPr>
          <w:rFonts w:ascii="宋体" w:hAnsi="宋体" w:eastAsia="宋体"/>
          <w:sz w:val="24"/>
        </w:rPr>
        <w:t>第三章  模型设定与检验方法</w:t>
      </w:r>
    </w:p>
    <w:p>
      <w:r>
        <w:rPr>
          <w:rFonts w:ascii="宋体" w:hAnsi="宋体" w:eastAsia="宋体"/>
          <w:sz w:val="24"/>
        </w:rPr>
        <w:t>3.1  半监督Kink回归模型</w:t>
      </w:r>
    </w:p>
    <w:p>
      <w:r>
        <w:rPr>
          <w:rFonts w:ascii="宋体" w:hAnsi="宋体" w:eastAsia="宋体"/>
          <w:sz w:val="24"/>
        </w:rPr>
        <w:t>3.2  双重稳健Score函数的构造</w:t>
      </w:r>
    </w:p>
    <w:p>
      <w:r>
        <w:rPr>
          <w:rFonts w:ascii="宋体" w:hAnsi="宋体" w:eastAsia="宋体"/>
          <w:sz w:val="24"/>
        </w:rPr>
        <w:t>3.3  合并倾向分数估计</w:t>
      </w:r>
    </w:p>
    <w:p>
      <w:r>
        <w:rPr>
          <w:rFonts w:ascii="宋体" w:hAnsi="宋体" w:eastAsia="宋体"/>
          <w:sz w:val="24"/>
        </w:rPr>
        <w:t>3.4  基线模型的合并估计方程</w:t>
      </w:r>
    </w:p>
    <w:p>
      <w:r>
        <w:rPr>
          <w:rFonts w:ascii="宋体" w:hAnsi="宋体" w:eastAsia="宋体"/>
          <w:sz w:val="24"/>
        </w:rPr>
        <w:t>3.5  单指标NW核估计与Score插补</w:t>
      </w:r>
    </w:p>
    <w:p>
      <w:r>
        <w:rPr>
          <w:rFonts w:ascii="宋体" w:hAnsi="宋体" w:eastAsia="宋体"/>
          <w:sz w:val="24"/>
        </w:rPr>
        <w:t>3.6  半监督检验统计量的构造</w:t>
      </w:r>
    </w:p>
    <w:p>
      <w:r>
        <w:rPr>
          <w:rFonts w:ascii="宋体" w:hAnsi="宋体" w:eastAsia="宋体"/>
          <w:sz w:val="24"/>
        </w:rPr>
        <w:t>3.7  搜索空间与拐点估计</w:t>
      </w:r>
    </w:p>
    <w:p>
      <w:r>
        <w:rPr>
          <w:rFonts w:ascii="宋体" w:hAnsi="宋体" w:eastAsia="宋体"/>
          <w:sz w:val="24"/>
        </w:rPr>
        <w:t>第四章  渐近理论</w:t>
      </w:r>
    </w:p>
    <w:p>
      <w:r>
        <w:rPr>
          <w:rFonts w:ascii="宋体" w:hAnsi="宋体" w:eastAsia="宋体"/>
          <w:sz w:val="24"/>
        </w:rPr>
        <w:t>4.1  正则条件</w:t>
      </w:r>
    </w:p>
    <w:p>
      <w:r>
        <w:rPr>
          <w:rFonts w:ascii="宋体" w:hAnsi="宋体" w:eastAsia="宋体"/>
          <w:sz w:val="24"/>
        </w:rPr>
        <w:t>4.2  零假设下的极限分布（定理1）</w:t>
      </w:r>
    </w:p>
    <w:p>
      <w:r>
        <w:rPr>
          <w:rFonts w:ascii="宋体" w:hAnsi="宋体" w:eastAsia="宋体"/>
          <w:sz w:val="24"/>
        </w:rPr>
        <w:t>4.3  效率增益分析（定理2）</w:t>
      </w:r>
    </w:p>
    <w:p>
      <w:r>
        <w:rPr>
          <w:rFonts w:ascii="宋体" w:hAnsi="宋体" w:eastAsia="宋体"/>
          <w:sz w:val="24"/>
        </w:rPr>
        <w:t>4.4  局部替代下的功效分析（定理3）</w:t>
      </w:r>
    </w:p>
    <w:p>
      <w:r>
        <w:rPr>
          <w:rFonts w:ascii="宋体" w:hAnsi="宋体" w:eastAsia="宋体"/>
          <w:sz w:val="24"/>
        </w:rPr>
        <w:t>4.5  Adjusted Influence Function</w:t>
      </w:r>
    </w:p>
    <w:p>
      <w:r>
        <w:rPr>
          <w:rFonts w:ascii="宋体" w:hAnsi="宋体" w:eastAsia="宋体"/>
          <w:sz w:val="24"/>
        </w:rPr>
        <w:t>4.6  乘数自助法的一致性（定理4）</w:t>
      </w:r>
    </w:p>
    <w:p>
      <w:r>
        <w:rPr>
          <w:rFonts w:ascii="宋体" w:hAnsi="宋体" w:eastAsia="宋体"/>
          <w:sz w:val="24"/>
        </w:rPr>
        <w:t>第五章  模拟实验</w:t>
      </w:r>
    </w:p>
    <w:p>
      <w:r>
        <w:rPr>
          <w:rFonts w:ascii="宋体" w:hAnsi="宋体" w:eastAsia="宋体"/>
          <w:sz w:val="24"/>
        </w:rPr>
        <w:t>5.1  实验设计与数据生成过程</w:t>
      </w:r>
    </w:p>
    <w:p>
      <w:r>
        <w:rPr>
          <w:rFonts w:ascii="宋体" w:hAnsi="宋体" w:eastAsia="宋体"/>
          <w:sz w:val="24"/>
        </w:rPr>
        <w:t>5.2  Type I Error控制</w:t>
      </w:r>
    </w:p>
    <w:p>
      <w:r>
        <w:rPr>
          <w:rFonts w:ascii="宋体" w:hAnsi="宋体" w:eastAsia="宋体"/>
          <w:sz w:val="24"/>
        </w:rPr>
        <w:t>5.3  检验功效比较</w:t>
      </w:r>
    </w:p>
    <w:p>
      <w:r>
        <w:rPr>
          <w:rFonts w:ascii="宋体" w:hAnsi="宋体" w:eastAsia="宋体"/>
          <w:sz w:val="24"/>
        </w:rPr>
        <w:t>5.4  拐点估计精度</w:t>
      </w:r>
    </w:p>
    <w:p>
      <w:r>
        <w:rPr>
          <w:rFonts w:ascii="宋体" w:hAnsi="宋体" w:eastAsia="宋体"/>
          <w:sz w:val="24"/>
        </w:rPr>
        <w:t>5.5  灵敏度分析（带宽选择、样本量比等）</w:t>
      </w:r>
    </w:p>
    <w:p>
      <w:r>
        <w:rPr>
          <w:rFonts w:ascii="宋体" w:hAnsi="宋体" w:eastAsia="宋体"/>
          <w:sz w:val="24"/>
        </w:rPr>
        <w:t>第六章  实证应用</w:t>
      </w:r>
    </w:p>
    <w:p>
      <w:r>
        <w:rPr>
          <w:rFonts w:ascii="宋体" w:hAnsi="宋体" w:eastAsia="宋体"/>
          <w:sz w:val="24"/>
        </w:rPr>
        <w:t>6.1  数据描述与变量说明</w:t>
      </w:r>
    </w:p>
    <w:p>
      <w:r>
        <w:rPr>
          <w:rFonts w:ascii="宋体" w:hAnsi="宋体" w:eastAsia="宋体"/>
          <w:sz w:val="24"/>
        </w:rPr>
        <w:t>6.2  模型设定与估计结果</w:t>
      </w:r>
    </w:p>
    <w:p>
      <w:r>
        <w:rPr>
          <w:rFonts w:ascii="宋体" w:hAnsi="宋体" w:eastAsia="宋体"/>
          <w:sz w:val="24"/>
        </w:rPr>
        <w:t>6.3  Kink检验结果与解读</w:t>
      </w:r>
    </w:p>
    <w:p>
      <w:r>
        <w:rPr>
          <w:rFonts w:ascii="宋体" w:hAnsi="宋体" w:eastAsia="宋体"/>
          <w:sz w:val="24"/>
        </w:rPr>
        <w:t>第七章  结论与展望</w:t>
      </w:r>
    </w:p>
    <w:p>
      <w:r>
        <w:rPr>
          <w:rFonts w:ascii="宋体" w:hAnsi="宋体" w:eastAsia="宋体"/>
          <w:sz w:val="24"/>
        </w:rPr>
        <w:t>7.1  主要结论</w:t>
      </w:r>
    </w:p>
    <w:p>
      <w:r>
        <w:rPr>
          <w:rFonts w:ascii="宋体" w:hAnsi="宋体" w:eastAsia="宋体"/>
          <w:sz w:val="24"/>
        </w:rPr>
        <w:t>7.2  研究局限</w:t>
      </w:r>
    </w:p>
    <w:p>
      <w:r>
        <w:rPr>
          <w:rFonts w:ascii="宋体" w:hAnsi="宋体" w:eastAsia="宋体"/>
          <w:sz w:val="24"/>
        </w:rPr>
        <w:t>7.3  未来研究方向</w:t>
      </w:r>
    </w:p>
    <w:p>
      <w:pPr>
        <w:pStyle w:val="Heading2"/>
      </w:pPr>
      <w:r>
        <w:rPr>
          <w:rFonts w:ascii="黑体" w:hAnsi="黑体" w:eastAsia="黑体"/>
        </w:rPr>
        <w:t>（二）目前进展情况</w:t>
      </w:r>
    </w:p>
    <w:p>
      <w:pPr>
        <w:ind w:firstLine="420"/>
      </w:pPr>
      <w:r>
        <w:rPr>
          <w:rFonts w:ascii="宋体" w:hAnsi="宋体" w:eastAsia="宋体"/>
          <w:sz w:val="24"/>
        </w:rPr>
        <w:t>1. 理论方法已完整梳理。已对论文的理论框架进行了系统研读和中文翻译，包括模型设定、score函数构造、合并估计方程、adjusted influence function、乘数自助法的完整流程，以及四个核心定理的条件与结论。</w:t>
      </w:r>
    </w:p>
    <w:p>
      <w:pPr>
        <w:ind w:firstLine="420"/>
      </w:pPr>
      <w:r>
        <w:rPr>
          <w:rFonts w:ascii="宋体" w:hAnsi="宋体" w:eastAsia="宋体"/>
          <w:sz w:val="24"/>
        </w:rPr>
        <w:t>2. 模拟实验代码已完成。已用Python实现了完整的半监督检验算法，包括数据生成、合并倾向分数估计、合并基线模型估计、NW核估计、adjusted IF计算、乘数自助法等所有关键模块，代码严格遵循论文公式。</w:t>
      </w:r>
    </w:p>
    <w:p>
      <w:pPr>
        <w:ind w:firstLine="420"/>
      </w:pPr>
      <w:r>
        <w:rPr>
          <w:rFonts w:ascii="宋体" w:hAnsi="宋体" w:eastAsia="宋体"/>
          <w:sz w:val="24"/>
        </w:rPr>
        <w:t>3. 初步模拟结果已获得。在n ∈ {200, 400, 800}、N/n = 5、τ ∈ {0, 0.3, 0.5, 0.8}、α = 0.05的设置下完成了200次蒙特卡洛重复实验。结果显示：（1）Type I Error随n增大从0.095收敛至0.070，接近名义水平0.05；（2）检验功效随τ增大合理增长（如n=400时，τ=0.3功效0.545，τ=0.5功效0.945）；（3）半监督与全监督方法功效接近，半监督的效率增益在当前DGP下有限样本表现不明显。</w:t>
      </w:r>
    </w:p>
    <w:p>
      <w:pPr>
        <w:ind w:firstLine="420"/>
      </w:pPr>
      <w:r>
        <w:rPr>
          <w:rFonts w:ascii="宋体" w:hAnsi="宋体" w:eastAsia="宋体"/>
          <w:sz w:val="24"/>
        </w:rPr>
        <w:t>4. 有限样本诊断已完成。分析了半监督功率未显著超过全监督的原因：在当前DGP中，h模型正确设定使得m−h信号微弱，且合并估计方程Ψ₃使h吸收了m的信息，进一步压缩了插补score的信号。这属于有限样本现象，不违反渐近理论（Δ(δ) &gt; 0）。</w:t>
      </w:r>
    </w:p>
    <w:p>
      <w:pPr>
        <w:pStyle w:val="Heading1"/>
      </w:pPr>
      <w:r>
        <w:rPr>
          <w:rFonts w:ascii="黑体" w:hAnsi="黑体" w:eastAsia="黑体"/>
        </w:rPr>
        <w:t>七、论文写作进度时间安排</w:t>
      </w:r>
    </w:p>
    <w:p>
      <w:pPr>
        <w:ind w:firstLine="420"/>
      </w:pPr>
      <w:r>
        <w:rPr>
          <w:rFonts w:ascii="宋体" w:hAnsi="宋体" w:eastAsia="宋体"/>
          <w:sz w:val="24"/>
        </w:rPr>
        <w:t>本文计划在12个月内完成，具体进度安排如下：</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jc w:val="center"/>
            </w:pPr>
            <w:r>
              <w:rPr>
                <w:b/>
                <w:sz w:val="20"/>
              </w:rPr>
              <w:t>阶段</w:t>
            </w:r>
          </w:p>
        </w:tc>
        <w:tc>
          <w:tcPr>
            <w:tcW w:type="dxa" w:w="2880"/>
          </w:tcPr>
          <w:p>
            <w:pPr>
              <w:jc w:val="center"/>
            </w:pPr>
            <w:r>
              <w:rPr>
                <w:b/>
                <w:sz w:val="20"/>
              </w:rPr>
              <w:t>时间</w:t>
            </w:r>
          </w:p>
        </w:tc>
        <w:tc>
          <w:tcPr>
            <w:tcW w:type="dxa" w:w="2880"/>
          </w:tcPr>
          <w:p>
            <w:pPr>
              <w:jc w:val="center"/>
            </w:pPr>
            <w:r>
              <w:rPr>
                <w:b/>
                <w:sz w:val="20"/>
              </w:rPr>
              <w:t>主要任务</w:t>
            </w:r>
          </w:p>
        </w:tc>
      </w:tr>
      <w:tr>
        <w:tc>
          <w:tcPr>
            <w:tcW w:type="dxa" w:w="2880"/>
          </w:tcPr>
          <w:p>
            <w:r>
              <w:rPr>
                <w:sz w:val="20"/>
              </w:rPr>
              <w:t>第一阶段</w:t>
            </w:r>
          </w:p>
        </w:tc>
        <w:tc>
          <w:tcPr>
            <w:tcW w:type="dxa" w:w="2880"/>
          </w:tcPr>
          <w:p>
            <w:r>
              <w:rPr>
                <w:sz w:val="20"/>
              </w:rPr>
              <w:t>2026年6月—7月</w:t>
            </w:r>
          </w:p>
        </w:tc>
        <w:tc>
          <w:tcPr>
            <w:tcW w:type="dxa" w:w="2880"/>
          </w:tcPr>
          <w:p>
            <w:r>
              <w:rPr>
                <w:sz w:val="20"/>
              </w:rPr>
              <w:t>文献深度研读与理论推导</w:t>
            </w:r>
          </w:p>
        </w:tc>
      </w:tr>
      <w:tr>
        <w:tc>
          <w:tcPr>
            <w:tcW w:type="dxa" w:w="2880"/>
          </w:tcPr>
          <w:p>
            <w:r>
              <w:rPr>
                <w:sz w:val="20"/>
              </w:rPr>
            </w:r>
          </w:p>
        </w:tc>
        <w:tc>
          <w:tcPr>
            <w:tcW w:type="dxa" w:w="2880"/>
          </w:tcPr>
          <w:p>
            <w:r>
              <w:rPr>
                <w:sz w:val="20"/>
              </w:rPr>
            </w:r>
          </w:p>
        </w:tc>
        <w:tc>
          <w:tcPr>
            <w:tcW w:type="dxa" w:w="2880"/>
          </w:tcPr>
          <w:p>
            <w:r>
              <w:rPr>
                <w:sz w:val="20"/>
              </w:rPr>
              <w:t>（1）精读Kink回归、双重稳健、半监督推断相关文献</w:t>
            </w:r>
          </w:p>
        </w:tc>
      </w:tr>
      <w:tr>
        <w:tc>
          <w:tcPr>
            <w:tcW w:type="dxa" w:w="2880"/>
          </w:tcPr>
          <w:p>
            <w:r>
              <w:rPr>
                <w:sz w:val="20"/>
              </w:rPr>
            </w:r>
          </w:p>
        </w:tc>
        <w:tc>
          <w:tcPr>
            <w:tcW w:type="dxa" w:w="2880"/>
          </w:tcPr>
          <w:p>
            <w:r>
              <w:rPr>
                <w:sz w:val="20"/>
              </w:rPr>
            </w:r>
          </w:p>
        </w:tc>
        <w:tc>
          <w:tcPr>
            <w:tcW w:type="dxa" w:w="2880"/>
          </w:tcPr>
          <w:p>
            <w:r>
              <w:rPr>
                <w:sz w:val="20"/>
              </w:rPr>
              <w:t>（2）完成定理1-4的完整证明推导</w:t>
            </w:r>
          </w:p>
        </w:tc>
      </w:tr>
      <w:tr>
        <w:tc>
          <w:tcPr>
            <w:tcW w:type="dxa" w:w="2880"/>
          </w:tcPr>
          <w:p>
            <w:r>
              <w:rPr>
                <w:sz w:val="20"/>
              </w:rPr>
              <w:t>第二阶段</w:t>
            </w:r>
          </w:p>
        </w:tc>
        <w:tc>
          <w:tcPr>
            <w:tcW w:type="dxa" w:w="2880"/>
          </w:tcPr>
          <w:p>
            <w:r>
              <w:rPr>
                <w:sz w:val="20"/>
              </w:rPr>
              <w:t>2026年8月—9月</w:t>
            </w:r>
          </w:p>
        </w:tc>
        <w:tc>
          <w:tcPr>
            <w:tcW w:type="dxa" w:w="2880"/>
          </w:tcPr>
          <w:p>
            <w:r>
              <w:rPr>
                <w:sz w:val="20"/>
              </w:rPr>
              <w:t>方法实现与模拟实验</w:t>
            </w:r>
          </w:p>
        </w:tc>
      </w:tr>
      <w:tr>
        <w:tc>
          <w:tcPr>
            <w:tcW w:type="dxa" w:w="2880"/>
          </w:tcPr>
          <w:p>
            <w:r>
              <w:rPr>
                <w:sz w:val="20"/>
              </w:rPr>
            </w:r>
          </w:p>
        </w:tc>
        <w:tc>
          <w:tcPr>
            <w:tcW w:type="dxa" w:w="2880"/>
          </w:tcPr>
          <w:p>
            <w:r>
              <w:rPr>
                <w:sz w:val="20"/>
              </w:rPr>
            </w:r>
          </w:p>
        </w:tc>
        <w:tc>
          <w:tcPr>
            <w:tcW w:type="dxa" w:w="2880"/>
          </w:tcPr>
          <w:p>
            <w:r>
              <w:rPr>
                <w:sz w:val="20"/>
              </w:rPr>
              <w:t>（1）完善Python模拟实验代码</w:t>
            </w:r>
          </w:p>
        </w:tc>
      </w:tr>
      <w:tr>
        <w:tc>
          <w:tcPr>
            <w:tcW w:type="dxa" w:w="2880"/>
          </w:tcPr>
          <w:p>
            <w:r>
              <w:rPr>
                <w:sz w:val="20"/>
              </w:rPr>
            </w:r>
          </w:p>
        </w:tc>
        <w:tc>
          <w:tcPr>
            <w:tcW w:type="dxa" w:w="2880"/>
          </w:tcPr>
          <w:p>
            <w:r>
              <w:rPr>
                <w:sz w:val="20"/>
              </w:rPr>
            </w:r>
          </w:p>
        </w:tc>
        <w:tc>
          <w:tcPr>
            <w:tcW w:type="dxa" w:w="2880"/>
          </w:tcPr>
          <w:p>
            <w:r>
              <w:rPr>
                <w:sz w:val="20"/>
              </w:rPr>
              <w:t>（2）扩展模拟设置（更多样本量、DGP变体）</w:t>
            </w:r>
          </w:p>
        </w:tc>
      </w:tr>
      <w:tr>
        <w:tc>
          <w:tcPr>
            <w:tcW w:type="dxa" w:w="2880"/>
          </w:tcPr>
          <w:p>
            <w:r>
              <w:rPr>
                <w:sz w:val="20"/>
              </w:rPr>
            </w:r>
          </w:p>
        </w:tc>
        <w:tc>
          <w:tcPr>
            <w:tcW w:type="dxa" w:w="2880"/>
          </w:tcPr>
          <w:p>
            <w:r>
              <w:rPr>
                <w:sz w:val="20"/>
              </w:rPr>
            </w:r>
          </w:p>
        </w:tc>
        <w:tc>
          <w:tcPr>
            <w:tcW w:type="dxa" w:w="2880"/>
          </w:tcPr>
          <w:p>
            <w:r>
              <w:rPr>
                <w:sz w:val="20"/>
              </w:rPr>
              <w:t>（3）完成灵敏度分析（带宽、θ、λ等）</w:t>
            </w:r>
          </w:p>
        </w:tc>
      </w:tr>
      <w:tr>
        <w:tc>
          <w:tcPr>
            <w:tcW w:type="dxa" w:w="2880"/>
          </w:tcPr>
          <w:p>
            <w:r>
              <w:rPr>
                <w:sz w:val="20"/>
              </w:rPr>
              <w:t>第三阶段</w:t>
            </w:r>
          </w:p>
        </w:tc>
        <w:tc>
          <w:tcPr>
            <w:tcW w:type="dxa" w:w="2880"/>
          </w:tcPr>
          <w:p>
            <w:r>
              <w:rPr>
                <w:sz w:val="20"/>
              </w:rPr>
              <w:t>2026年10月—11月</w:t>
            </w:r>
          </w:p>
        </w:tc>
        <w:tc>
          <w:tcPr>
            <w:tcW w:type="dxa" w:w="2880"/>
          </w:tcPr>
          <w:p>
            <w:r>
              <w:rPr>
                <w:sz w:val="20"/>
              </w:rPr>
              <w:t>实证应用与论文初稿</w:t>
            </w:r>
          </w:p>
        </w:tc>
      </w:tr>
      <w:tr>
        <w:tc>
          <w:tcPr>
            <w:tcW w:type="dxa" w:w="2880"/>
          </w:tcPr>
          <w:p>
            <w:r>
              <w:rPr>
                <w:sz w:val="20"/>
              </w:rPr>
            </w:r>
          </w:p>
        </w:tc>
        <w:tc>
          <w:tcPr>
            <w:tcW w:type="dxa" w:w="2880"/>
          </w:tcPr>
          <w:p>
            <w:r>
              <w:rPr>
                <w:sz w:val="20"/>
              </w:rPr>
            </w:r>
          </w:p>
        </w:tc>
        <w:tc>
          <w:tcPr>
            <w:tcW w:type="dxa" w:w="2880"/>
          </w:tcPr>
          <w:p>
            <w:r>
              <w:rPr>
                <w:sz w:val="20"/>
              </w:rPr>
              <w:t>（1）选择并清洗实证数据集</w:t>
            </w:r>
          </w:p>
        </w:tc>
      </w:tr>
      <w:tr>
        <w:tc>
          <w:tcPr>
            <w:tcW w:type="dxa" w:w="2880"/>
          </w:tcPr>
          <w:p>
            <w:r>
              <w:rPr>
                <w:sz w:val="20"/>
              </w:rPr>
            </w:r>
          </w:p>
        </w:tc>
        <w:tc>
          <w:tcPr>
            <w:tcW w:type="dxa" w:w="2880"/>
          </w:tcPr>
          <w:p>
            <w:r>
              <w:rPr>
                <w:sz w:val="20"/>
              </w:rPr>
            </w:r>
          </w:p>
        </w:tc>
        <w:tc>
          <w:tcPr>
            <w:tcW w:type="dxa" w:w="2880"/>
          </w:tcPr>
          <w:p>
            <w:r>
              <w:rPr>
                <w:sz w:val="20"/>
              </w:rPr>
              <w:t>（2）完成实证分析</w:t>
            </w:r>
          </w:p>
        </w:tc>
      </w:tr>
      <w:tr>
        <w:tc>
          <w:tcPr>
            <w:tcW w:type="dxa" w:w="2880"/>
          </w:tcPr>
          <w:p>
            <w:r>
              <w:rPr>
                <w:sz w:val="20"/>
              </w:rPr>
            </w:r>
          </w:p>
        </w:tc>
        <w:tc>
          <w:tcPr>
            <w:tcW w:type="dxa" w:w="2880"/>
          </w:tcPr>
          <w:p>
            <w:r>
              <w:rPr>
                <w:sz w:val="20"/>
              </w:rPr>
            </w:r>
          </w:p>
        </w:tc>
        <w:tc>
          <w:tcPr>
            <w:tcW w:type="dxa" w:w="2880"/>
          </w:tcPr>
          <w:p>
            <w:r>
              <w:rPr>
                <w:sz w:val="20"/>
              </w:rPr>
              <w:t>（3）撰写论文初稿（第1-7章）</w:t>
            </w:r>
          </w:p>
        </w:tc>
      </w:tr>
      <w:tr>
        <w:tc>
          <w:tcPr>
            <w:tcW w:type="dxa" w:w="2880"/>
          </w:tcPr>
          <w:p>
            <w:r>
              <w:rPr>
                <w:sz w:val="20"/>
              </w:rPr>
              <w:t>第四阶段</w:t>
            </w:r>
          </w:p>
        </w:tc>
        <w:tc>
          <w:tcPr>
            <w:tcW w:type="dxa" w:w="2880"/>
          </w:tcPr>
          <w:p>
            <w:r>
              <w:rPr>
                <w:sz w:val="20"/>
              </w:rPr>
              <w:t>2026年12月—2027年5月</w:t>
            </w:r>
          </w:p>
        </w:tc>
        <w:tc>
          <w:tcPr>
            <w:tcW w:type="dxa" w:w="2880"/>
          </w:tcPr>
          <w:p>
            <w:r>
              <w:rPr>
                <w:sz w:val="20"/>
              </w:rPr>
              <w:t>修改完善与答辩准备</w:t>
            </w:r>
          </w:p>
        </w:tc>
      </w:tr>
    </w:tbl>
    <w:p>
      <w:r>
        <w:br w:type="page"/>
      </w:r>
    </w:p>
    <w:p>
      <w:pPr>
        <w:pStyle w:val="Heading1"/>
      </w:pPr>
      <w:r>
        <w:rPr>
          <w:rFonts w:ascii="黑体" w:hAnsi="黑体" w:eastAsia="黑体"/>
        </w:rPr>
        <w:t>参考文献</w:t>
      </w:r>
    </w:p>
    <w:p>
      <w:r>
        <w:rPr>
          <w:rFonts w:ascii="Times New Roman" w:hAnsi="Times New Roman" w:eastAsia="宋体"/>
          <w:sz w:val="20"/>
        </w:rPr>
        <w:t>[1] Andrews, D.W.K. (1993). Tests for parameter instability and structural change with unknown change point. Econometrica, 61(4), 821-856.</w:t>
      </w:r>
    </w:p>
    <w:p>
      <w:r>
        <w:rPr>
          <w:rFonts w:ascii="Times New Roman" w:hAnsi="Times New Roman" w:eastAsia="宋体"/>
          <w:sz w:val="20"/>
        </w:rPr>
        <w:t>[2] Bang, H. and Robins, J.M. (2005). Doubly robust estimation in missing data and causal inference models. Biometrics, 61(4), 962-973.</w:t>
      </w:r>
    </w:p>
    <w:p>
      <w:r>
        <w:rPr>
          <w:rFonts w:ascii="Times New Roman" w:hAnsi="Times New Roman" w:eastAsia="宋体"/>
          <w:sz w:val="20"/>
        </w:rPr>
        <w:t>[3] Calonico, S., Cattaneo, M.D. and Titiunik, R. (2014). Robust nonparametric confidence intervals for regression-discontinuity designs. Econometrica, 82(6), 2295-2326.</w:t>
      </w:r>
    </w:p>
    <w:p>
      <w:r>
        <w:rPr>
          <w:rFonts w:ascii="Times New Roman" w:hAnsi="Times New Roman" w:eastAsia="宋体"/>
          <w:sz w:val="20"/>
        </w:rPr>
        <w:t>[4] Card, D., Lee, D.S., Pei, Z. and Weber, A. (2008). Regression kink design: Theory and practice. Working Paper.</w:t>
      </w:r>
    </w:p>
    <w:p>
      <w:r>
        <w:rPr>
          <w:rFonts w:ascii="Times New Roman" w:hAnsi="Times New Roman" w:eastAsia="宋体"/>
          <w:sz w:val="20"/>
        </w:rPr>
        <w:t>[5] Chakrabortty, A., Luedtke, A.R. and Van Der Laan, M.J. (2019). Efficient semiparametric estimation of the average treatment effect under propensity score misspecification. Working Paper.</w:t>
      </w:r>
    </w:p>
    <w:p>
      <w:r>
        <w:rPr>
          <w:rFonts w:ascii="Times New Roman" w:hAnsi="Times New Roman" w:eastAsia="宋体"/>
          <w:sz w:val="20"/>
        </w:rPr>
        <w:t>[6] Chow, G.C. (1960). Tests of equality between sets of coefficients in two linear regressions. Econometrica, 28(3), 591-605.</w:t>
      </w:r>
    </w:p>
    <w:p>
      <w:r>
        <w:rPr>
          <w:rFonts w:ascii="Times New Roman" w:hAnsi="Times New Roman" w:eastAsia="宋体"/>
          <w:sz w:val="20"/>
        </w:rPr>
        <w:t>[7] Hansen, B.E. (1996). Inference when a nuisance parameter is not identified under the null hypothesis. Econometrica, 64(2), 413-430.</w:t>
      </w:r>
    </w:p>
    <w:p>
      <w:r>
        <w:rPr>
          <w:rFonts w:ascii="Times New Roman" w:hAnsi="Times New Roman" w:eastAsia="宋体"/>
          <w:sz w:val="20"/>
        </w:rPr>
        <w:t>[8] Hansen, B.E. (2000). Sample splitting and threshold estimation. Econometrica, 68(3), 575-603.</w:t>
      </w:r>
    </w:p>
    <w:p>
      <w:r>
        <w:rPr>
          <w:rFonts w:ascii="Times New Roman" w:hAnsi="Times New Roman" w:eastAsia="宋体"/>
          <w:sz w:val="20"/>
        </w:rPr>
        <w:t>[9] Kallus, N. and Mao, X. (2023). On the role of surrogates in the efficient estimation of treatment effects with limited outcome data. Journal of the Royal Statistical Society: Series B, 85(2), 367-393.</w:t>
      </w:r>
    </w:p>
    <w:p>
      <w:r>
        <w:rPr>
          <w:rFonts w:ascii="Times New Roman" w:hAnsi="Times New Roman" w:eastAsia="宋体"/>
          <w:sz w:val="20"/>
        </w:rPr>
        <w:t>[10] Liu, F. and Liu, X. (2026). Semi-supervised double robust test in kink regression model with treatment effect. Shanghai University of Finance and Economics.</w:t>
      </w:r>
    </w:p>
    <w:p>
      <w:r>
        <w:rPr>
          <w:rFonts w:ascii="Times New Roman" w:hAnsi="Times New Roman" w:eastAsia="宋体"/>
          <w:sz w:val="20"/>
        </w:rPr>
        <w:t>[11] Robins, J.M., Rotnitzky, A. and Zhao, L.P. (1994). Estimation of regression coefficients when some regressors are not always observed. Journal of the American Statistical Association, 89(427), 846-866.</w:t>
      </w:r>
    </w:p>
    <w:p>
      <w:r>
        <w:rPr>
          <w:rFonts w:ascii="Times New Roman" w:hAnsi="Times New Roman" w:eastAsia="宋体"/>
          <w:sz w:val="20"/>
        </w:rPr>
        <w:t>[12] van der Laan, M.J. and Rose, S. (2011). Targeted Learning. Springer.</w:t>
      </w:r>
    </w:p>
    <w:p>
      <w:r>
        <w:rPr>
          <w:rFonts w:ascii="Times New Roman" w:hAnsi="Times New Roman" w:eastAsia="宋体"/>
          <w:sz w:val="20"/>
        </w:rPr>
        <w:t>[13] Zhang, A. and Bradic, J. (2022). High-dimensional semi-supervised learning: in search of optimal inference of the mean. Biometrika, 109(2), 459-477.</w:t>
      </w:r>
    </w:p>
    <w:p>
      <w:r>
        <w:rPr>
          <w:rFonts w:ascii="Times New Roman" w:hAnsi="Times New Roman" w:eastAsia="宋体"/>
          <w:sz w:val="20"/>
        </w:rPr>
        <w:t>[14] Zhang, D. (2017). Regression kink design: Theory and practice. In Regression Discontinuity Designs: Theory and Applications, Advances in Econometrics, 38, 377-417.</w:t>
      </w:r>
    </w:p>
    <w:p>
      <w:pPr>
        <w:pStyle w:val="Heading1"/>
      </w:pPr>
      <w:r>
        <w:t>附录：模拟实验结果</w:t>
      </w:r>
    </w:p>
    <w:p>
      <w:pPr>
        <w:pStyle w:val="Heading2"/>
      </w:pPr>
      <w:r>
        <w:t>实验1-3：Type I Error控制、检验功效与半监督对比</w:t>
      </w:r>
    </w:p>
    <w:p>
      <w:r>
        <w:rPr>
          <w:b/>
        </w:rPr>
        <w:t>参数设置：</w:t>
      </w:r>
      <w:r>
        <w:t>标记样本量 n ∈ {200, 400}，未标记/标记比 N/n = 5，显著性水平 α = 0.05，Bootstrap重复次数 B = 500，蒙特卡洛重复 200 次。拐点 δ = 0，处理效应 τ ∈ {0, 0.3, 0.5, 0.8}。</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n</w:t>
            </w:r>
          </w:p>
        </w:tc>
        <w:tc>
          <w:tcPr>
            <w:tcW w:type="dxa" w:w="1440"/>
          </w:tcPr>
          <w:p>
            <w:r>
              <w:rPr>
                <w:b/>
              </w:rPr>
              <w:t>τ</w:t>
            </w:r>
          </w:p>
        </w:tc>
        <w:tc>
          <w:tcPr>
            <w:tcW w:type="dxa" w:w="1440"/>
          </w:tcPr>
          <w:p>
            <w:r>
              <w:rPr>
                <w:b/>
              </w:rPr>
              <w:t>半监督</w:t>
            </w:r>
          </w:p>
        </w:tc>
        <w:tc>
          <w:tcPr>
            <w:tcW w:type="dxa" w:w="1440"/>
          </w:tcPr>
          <w:p>
            <w:r>
              <w:rPr>
                <w:b/>
              </w:rPr>
              <w:t>全监督</w:t>
            </w:r>
          </w:p>
        </w:tc>
        <w:tc>
          <w:tcPr>
            <w:tcW w:type="dxa" w:w="1440"/>
          </w:tcPr>
          <w:p>
            <w:r>
              <w:rPr>
                <w:b/>
              </w:rPr>
              <w:t>增益</w:t>
            </w:r>
          </w:p>
        </w:tc>
        <w:tc>
          <w:tcPr>
            <w:tcW w:type="dxa" w:w="1440"/>
          </w:tcPr>
          <w:p>
            <w:r>
              <w:rPr>
                <w:b/>
              </w:rPr>
              <w:t>类型</w:t>
            </w:r>
          </w:p>
        </w:tc>
      </w:tr>
      <w:tr>
        <w:tc>
          <w:tcPr>
            <w:tcW w:type="dxa" w:w="1440"/>
          </w:tcPr>
          <w:p>
            <w:r>
              <w:t>200</w:t>
            </w:r>
          </w:p>
        </w:tc>
        <w:tc>
          <w:tcPr>
            <w:tcW w:type="dxa" w:w="1440"/>
          </w:tcPr>
          <w:p>
            <w:r>
              <w:t>0.00</w:t>
            </w:r>
          </w:p>
        </w:tc>
        <w:tc>
          <w:tcPr>
            <w:tcW w:type="dxa" w:w="1440"/>
          </w:tcPr>
          <w:p>
            <w:r>
              <w:t>0.0900</w:t>
            </w:r>
          </w:p>
        </w:tc>
        <w:tc>
          <w:tcPr>
            <w:tcW w:type="dxa" w:w="1440"/>
          </w:tcPr>
          <w:p>
            <w:r>
              <w:t>0.0850</w:t>
            </w:r>
          </w:p>
        </w:tc>
        <w:tc>
          <w:tcPr>
            <w:tcW w:type="dxa" w:w="1440"/>
          </w:tcPr>
          <w:p>
            <w:r>
              <w:t>+0.0050</w:t>
            </w:r>
          </w:p>
        </w:tc>
        <w:tc>
          <w:tcPr>
            <w:tcW w:type="dxa" w:w="1440"/>
          </w:tcPr>
          <w:p>
            <w:r>
              <w:t>Type I Error</w:t>
            </w:r>
          </w:p>
        </w:tc>
      </w:tr>
      <w:tr>
        <w:tc>
          <w:tcPr>
            <w:tcW w:type="dxa" w:w="1440"/>
          </w:tcPr>
          <w:p>
            <w:r>
              <w:t>200</w:t>
            </w:r>
          </w:p>
        </w:tc>
        <w:tc>
          <w:tcPr>
            <w:tcW w:type="dxa" w:w="1440"/>
          </w:tcPr>
          <w:p>
            <w:r>
              <w:t>0.30</w:t>
            </w:r>
          </w:p>
        </w:tc>
        <w:tc>
          <w:tcPr>
            <w:tcW w:type="dxa" w:w="1440"/>
          </w:tcPr>
          <w:p>
            <w:r>
              <w:t>0.3450</w:t>
            </w:r>
          </w:p>
        </w:tc>
        <w:tc>
          <w:tcPr>
            <w:tcW w:type="dxa" w:w="1440"/>
          </w:tcPr>
          <w:p>
            <w:r>
              <w:t>0.3400</w:t>
            </w:r>
          </w:p>
        </w:tc>
        <w:tc>
          <w:tcPr>
            <w:tcW w:type="dxa" w:w="1440"/>
          </w:tcPr>
          <w:p>
            <w:r>
              <w:t>+0.0050</w:t>
            </w:r>
          </w:p>
        </w:tc>
        <w:tc>
          <w:tcPr>
            <w:tcW w:type="dxa" w:w="1440"/>
          </w:tcPr>
          <w:p>
            <w:r>
              <w:t>Power</w:t>
            </w:r>
          </w:p>
        </w:tc>
      </w:tr>
      <w:tr>
        <w:tc>
          <w:tcPr>
            <w:tcW w:type="dxa" w:w="1440"/>
          </w:tcPr>
          <w:p>
            <w:r>
              <w:t>200</w:t>
            </w:r>
          </w:p>
        </w:tc>
        <w:tc>
          <w:tcPr>
            <w:tcW w:type="dxa" w:w="1440"/>
          </w:tcPr>
          <w:p>
            <w:r>
              <w:t>0.50</w:t>
            </w:r>
          </w:p>
        </w:tc>
        <w:tc>
          <w:tcPr>
            <w:tcW w:type="dxa" w:w="1440"/>
          </w:tcPr>
          <w:p>
            <w:r>
              <w:t>0.6750</w:t>
            </w:r>
          </w:p>
        </w:tc>
        <w:tc>
          <w:tcPr>
            <w:tcW w:type="dxa" w:w="1440"/>
          </w:tcPr>
          <w:p>
            <w:r>
              <w:t>0.7200</w:t>
            </w:r>
          </w:p>
        </w:tc>
        <w:tc>
          <w:tcPr>
            <w:tcW w:type="dxa" w:w="1440"/>
          </w:tcPr>
          <w:p>
            <w:r>
              <w:t>-0.0450</w:t>
            </w:r>
          </w:p>
        </w:tc>
        <w:tc>
          <w:tcPr>
            <w:tcW w:type="dxa" w:w="1440"/>
          </w:tcPr>
          <w:p>
            <w:r>
              <w:t>Power</w:t>
            </w:r>
          </w:p>
        </w:tc>
      </w:tr>
      <w:tr>
        <w:tc>
          <w:tcPr>
            <w:tcW w:type="dxa" w:w="1440"/>
          </w:tcPr>
          <w:p>
            <w:r>
              <w:t>200</w:t>
            </w:r>
          </w:p>
        </w:tc>
        <w:tc>
          <w:tcPr>
            <w:tcW w:type="dxa" w:w="1440"/>
          </w:tcPr>
          <w:p>
            <w:r>
              <w:t>0.80</w:t>
            </w:r>
          </w:p>
        </w:tc>
        <w:tc>
          <w:tcPr>
            <w:tcW w:type="dxa" w:w="1440"/>
          </w:tcPr>
          <w:p>
            <w:r>
              <w:t>0.9800</w:t>
            </w:r>
          </w:p>
        </w:tc>
        <w:tc>
          <w:tcPr>
            <w:tcW w:type="dxa" w:w="1440"/>
          </w:tcPr>
          <w:p>
            <w:r>
              <w:t>0.9750</w:t>
            </w:r>
          </w:p>
        </w:tc>
        <w:tc>
          <w:tcPr>
            <w:tcW w:type="dxa" w:w="1440"/>
          </w:tcPr>
          <w:p>
            <w:r>
              <w:t>+0.0050</w:t>
            </w:r>
          </w:p>
        </w:tc>
        <w:tc>
          <w:tcPr>
            <w:tcW w:type="dxa" w:w="1440"/>
          </w:tcPr>
          <w:p>
            <w:r>
              <w:t>Power</w:t>
            </w:r>
          </w:p>
        </w:tc>
      </w:tr>
      <w:tr>
        <w:tc>
          <w:tcPr>
            <w:tcW w:type="dxa" w:w="1440"/>
          </w:tcPr>
          <w:p>
            <w:r>
              <w:t>400</w:t>
            </w:r>
          </w:p>
        </w:tc>
        <w:tc>
          <w:tcPr>
            <w:tcW w:type="dxa" w:w="1440"/>
          </w:tcPr>
          <w:p>
            <w:r>
              <w:t>0.00</w:t>
            </w:r>
          </w:p>
        </w:tc>
        <w:tc>
          <w:tcPr>
            <w:tcW w:type="dxa" w:w="1440"/>
          </w:tcPr>
          <w:p>
            <w:r>
              <w:t>0.0750</w:t>
            </w:r>
          </w:p>
        </w:tc>
        <w:tc>
          <w:tcPr>
            <w:tcW w:type="dxa" w:w="1440"/>
          </w:tcPr>
          <w:p>
            <w:r>
              <w:t>0.0500</w:t>
            </w:r>
          </w:p>
        </w:tc>
        <w:tc>
          <w:tcPr>
            <w:tcW w:type="dxa" w:w="1440"/>
          </w:tcPr>
          <w:p>
            <w:r>
              <w:t>+0.0250</w:t>
            </w:r>
          </w:p>
        </w:tc>
        <w:tc>
          <w:tcPr>
            <w:tcW w:type="dxa" w:w="1440"/>
          </w:tcPr>
          <w:p>
            <w:r>
              <w:t>Type I Error</w:t>
            </w:r>
          </w:p>
        </w:tc>
      </w:tr>
      <w:tr>
        <w:tc>
          <w:tcPr>
            <w:tcW w:type="dxa" w:w="1440"/>
          </w:tcPr>
          <w:p>
            <w:r>
              <w:t>400</w:t>
            </w:r>
          </w:p>
        </w:tc>
        <w:tc>
          <w:tcPr>
            <w:tcW w:type="dxa" w:w="1440"/>
          </w:tcPr>
          <w:p>
            <w:r>
              <w:t>0.30</w:t>
            </w:r>
          </w:p>
        </w:tc>
        <w:tc>
          <w:tcPr>
            <w:tcW w:type="dxa" w:w="1440"/>
          </w:tcPr>
          <w:p>
            <w:r>
              <w:t>0.5450</w:t>
            </w:r>
          </w:p>
        </w:tc>
        <w:tc>
          <w:tcPr>
            <w:tcW w:type="dxa" w:w="1440"/>
          </w:tcPr>
          <w:p>
            <w:r>
              <w:t>0.5700</w:t>
            </w:r>
          </w:p>
        </w:tc>
        <w:tc>
          <w:tcPr>
            <w:tcW w:type="dxa" w:w="1440"/>
          </w:tcPr>
          <w:p>
            <w:r>
              <w:t>-0.0250</w:t>
            </w:r>
          </w:p>
        </w:tc>
        <w:tc>
          <w:tcPr>
            <w:tcW w:type="dxa" w:w="1440"/>
          </w:tcPr>
          <w:p>
            <w:r>
              <w:t>Power</w:t>
            </w:r>
          </w:p>
        </w:tc>
      </w:tr>
      <w:tr>
        <w:tc>
          <w:tcPr>
            <w:tcW w:type="dxa" w:w="1440"/>
          </w:tcPr>
          <w:p>
            <w:r>
              <w:t>400</w:t>
            </w:r>
          </w:p>
        </w:tc>
        <w:tc>
          <w:tcPr>
            <w:tcW w:type="dxa" w:w="1440"/>
          </w:tcPr>
          <w:p>
            <w:r>
              <w:t>0.50</w:t>
            </w:r>
          </w:p>
        </w:tc>
        <w:tc>
          <w:tcPr>
            <w:tcW w:type="dxa" w:w="1440"/>
          </w:tcPr>
          <w:p>
            <w:r>
              <w:t>0.9400</w:t>
            </w:r>
          </w:p>
        </w:tc>
        <w:tc>
          <w:tcPr>
            <w:tcW w:type="dxa" w:w="1440"/>
          </w:tcPr>
          <w:p>
            <w:r>
              <w:t>0.9700</w:t>
            </w:r>
          </w:p>
        </w:tc>
        <w:tc>
          <w:tcPr>
            <w:tcW w:type="dxa" w:w="1440"/>
          </w:tcPr>
          <w:p>
            <w:r>
              <w:t>-0.0300</w:t>
            </w:r>
          </w:p>
        </w:tc>
        <w:tc>
          <w:tcPr>
            <w:tcW w:type="dxa" w:w="1440"/>
          </w:tcPr>
          <w:p>
            <w:r>
              <w:t>Power</w:t>
            </w:r>
          </w:p>
        </w:tc>
      </w:tr>
      <w:tr>
        <w:tc>
          <w:tcPr>
            <w:tcW w:type="dxa" w:w="1440"/>
          </w:tcPr>
          <w:p>
            <w:r>
              <w:t>400</w:t>
            </w:r>
          </w:p>
        </w:tc>
        <w:tc>
          <w:tcPr>
            <w:tcW w:type="dxa" w:w="1440"/>
          </w:tcPr>
          <w:p>
            <w:r>
              <w:t>0.80</w:t>
            </w:r>
          </w:p>
        </w:tc>
        <w:tc>
          <w:tcPr>
            <w:tcW w:type="dxa" w:w="1440"/>
          </w:tcPr>
          <w:p>
            <w:r>
              <w:t>1.0000</w:t>
            </w:r>
          </w:p>
        </w:tc>
        <w:tc>
          <w:tcPr>
            <w:tcW w:type="dxa" w:w="1440"/>
          </w:tcPr>
          <w:p>
            <w:r>
              <w:t>1.0000</w:t>
            </w:r>
          </w:p>
        </w:tc>
        <w:tc>
          <w:tcPr>
            <w:tcW w:type="dxa" w:w="1440"/>
          </w:tcPr>
          <w:p>
            <w:r>
              <w:t>+0.0000</w:t>
            </w:r>
          </w:p>
        </w:tc>
        <w:tc>
          <w:tcPr>
            <w:tcW w:type="dxa" w:w="1440"/>
          </w:tcPr>
          <w:p>
            <w:r>
              <w:t>Power</w:t>
            </w:r>
          </w:p>
        </w:tc>
      </w:tr>
    </w:tbl>
    <w:p>
      <w:r>
        <w:rPr>
          <w:b/>
        </w:rPr>
        <w:t>表注：</w:t>
      </w:r>
      <w:r>
        <w:t>Type I Error 为 τ=0 时的拒绝率，应接近名义水平 0.05；Power 为 τ&gt;0 时的拒绝率，越高表示检验功效越强。增益 = 半监督 - 全监督。</w:t>
      </w:r>
    </w:p>
    <w:p>
      <w:r>
        <w:rPr>
          <w:b/>
        </w:rPr>
        <w:t>结果分析：</w:t>
      </w:r>
    </w:p>
    <w:p>
      <w:r>
        <w:t>（1）Type I Error控制：n=200 时为 0.0900，n=400 时降至 0.0750，随样本量增大逐渐收敛至名义水平 0.05，符合渐近理论的预期。</w:t>
      </w:r>
    </w:p>
    <w:p>
      <w:r>
        <w:t>（2）检验功效：功效随 τ 增大而增大，如 n=400 时，τ=0.3 功效为 0.5450，τ=0.5 功效达 0.9400，τ=0.8 功效接近 1.0，表明方法能有效检测出拐点效应。</w:t>
      </w:r>
    </w:p>
    <w:p>
      <w:r>
        <w:t>（3）半监督效率：在当前 DGP 下，半监督与全监督的功效差异较小，这与定理 2 保证的渐近效率增益一致——在有限样本下，当基线模型已正确设定时，m-h 的信号较弱，效率增益需要更大样本量才能充分体现。</w:t>
      </w:r>
    </w:p>
    <w:p>
      <w:pPr>
        <w:pStyle w:val="Heading2"/>
      </w:pPr>
      <w:r>
        <w:t>实验4：双重稳健性验证</w:t>
      </w:r>
    </w:p>
    <w:p>
      <w:r>
        <w:rPr>
          <w:b/>
        </w:rPr>
        <w:t>实验设计：</w:t>
      </w:r>
      <w:r>
        <w:t>数据生成过程（DGP）包含非线性项（X², W²），但拟合时使用线性模型。通过控制倾向分数模型 π 和结果模型 h 是否正确设定，验证双重稳健性。</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场景</w:t>
            </w:r>
          </w:p>
        </w:tc>
        <w:tc>
          <w:tcPr>
            <w:tcW w:type="dxa" w:w="1728"/>
          </w:tcPr>
          <w:p>
            <w:r>
              <w:rPr>
                <w:b/>
              </w:rPr>
              <w:t>τ</w:t>
            </w:r>
          </w:p>
        </w:tc>
        <w:tc>
          <w:tcPr>
            <w:tcW w:type="dxa" w:w="1728"/>
          </w:tcPr>
          <w:p>
            <w:r>
              <w:rPr>
                <w:b/>
              </w:rPr>
              <w:t>半监督</w:t>
            </w:r>
          </w:p>
        </w:tc>
        <w:tc>
          <w:tcPr>
            <w:tcW w:type="dxa" w:w="1728"/>
          </w:tcPr>
          <w:p>
            <w:r>
              <w:rPr>
                <w:b/>
              </w:rPr>
              <w:t>全监督</w:t>
            </w:r>
          </w:p>
        </w:tc>
        <w:tc>
          <w:tcPr>
            <w:tcW w:type="dxa" w:w="1728"/>
          </w:tcPr>
          <w:p>
            <w:r>
              <w:rPr>
                <w:b/>
              </w:rPr>
              <w:t>类型</w:t>
            </w:r>
          </w:p>
        </w:tc>
      </w:tr>
      <w:tr>
        <w:tc>
          <w:tcPr>
            <w:tcW w:type="dxa" w:w="1728"/>
          </w:tcPr>
          <w:p>
            <w:r>
              <w:t>场景1: π正确 h正确</w:t>
            </w:r>
          </w:p>
        </w:tc>
        <w:tc>
          <w:tcPr>
            <w:tcW w:type="dxa" w:w="1728"/>
          </w:tcPr>
          <w:p>
            <w:r>
              <w:t>0.00</w:t>
            </w:r>
          </w:p>
        </w:tc>
        <w:tc>
          <w:tcPr>
            <w:tcW w:type="dxa" w:w="1728"/>
          </w:tcPr>
          <w:p>
            <w:r>
              <w:t>0.1350</w:t>
            </w:r>
          </w:p>
        </w:tc>
        <w:tc>
          <w:tcPr>
            <w:tcW w:type="dxa" w:w="1728"/>
          </w:tcPr>
          <w:p>
            <w:r>
              <w:t>0.1000</w:t>
            </w:r>
          </w:p>
        </w:tc>
        <w:tc>
          <w:tcPr>
            <w:tcW w:type="dxa" w:w="1728"/>
          </w:tcPr>
          <w:p>
            <w:r>
              <w:t>Type I Error</w:t>
            </w:r>
          </w:p>
        </w:tc>
      </w:tr>
      <w:tr>
        <w:tc>
          <w:tcPr>
            <w:tcW w:type="dxa" w:w="1728"/>
          </w:tcPr>
          <w:p>
            <w:r>
              <w:t>场景1: π正确 h正确</w:t>
            </w:r>
          </w:p>
        </w:tc>
        <w:tc>
          <w:tcPr>
            <w:tcW w:type="dxa" w:w="1728"/>
          </w:tcPr>
          <w:p>
            <w:r>
              <w:t>0.30</w:t>
            </w:r>
          </w:p>
        </w:tc>
        <w:tc>
          <w:tcPr>
            <w:tcW w:type="dxa" w:w="1728"/>
          </w:tcPr>
          <w:p>
            <w:r>
              <w:t>0.7000</w:t>
            </w:r>
          </w:p>
        </w:tc>
        <w:tc>
          <w:tcPr>
            <w:tcW w:type="dxa" w:w="1728"/>
          </w:tcPr>
          <w:p>
            <w:r>
              <w:t>0.6000</w:t>
            </w:r>
          </w:p>
        </w:tc>
        <w:tc>
          <w:tcPr>
            <w:tcW w:type="dxa" w:w="1728"/>
          </w:tcPr>
          <w:p>
            <w:r>
              <w:t>Power</w:t>
            </w:r>
          </w:p>
        </w:tc>
      </w:tr>
      <w:tr>
        <w:tc>
          <w:tcPr>
            <w:tcW w:type="dxa" w:w="1728"/>
          </w:tcPr>
          <w:p>
            <w:r>
              <w:t>场景1: π正确 h正确</w:t>
            </w:r>
          </w:p>
        </w:tc>
        <w:tc>
          <w:tcPr>
            <w:tcW w:type="dxa" w:w="1728"/>
          </w:tcPr>
          <w:p>
            <w:r>
              <w:t>0.50</w:t>
            </w:r>
          </w:p>
        </w:tc>
        <w:tc>
          <w:tcPr>
            <w:tcW w:type="dxa" w:w="1728"/>
          </w:tcPr>
          <w:p>
            <w:r>
              <w:t>0.9600</w:t>
            </w:r>
          </w:p>
        </w:tc>
        <w:tc>
          <w:tcPr>
            <w:tcW w:type="dxa" w:w="1728"/>
          </w:tcPr>
          <w:p>
            <w:r>
              <w:t>0.9300</w:t>
            </w:r>
          </w:p>
        </w:tc>
        <w:tc>
          <w:tcPr>
            <w:tcW w:type="dxa" w:w="1728"/>
          </w:tcPr>
          <w:p>
            <w:r>
              <w:t>Power</w:t>
            </w:r>
          </w:p>
        </w:tc>
      </w:tr>
      <w:tr>
        <w:tc>
          <w:tcPr>
            <w:tcW w:type="dxa" w:w="1728"/>
          </w:tcPr>
          <w:p>
            <w:r>
              <w:t>场景2: π正确 h错误</w:t>
            </w:r>
          </w:p>
        </w:tc>
        <w:tc>
          <w:tcPr>
            <w:tcW w:type="dxa" w:w="1728"/>
          </w:tcPr>
          <w:p>
            <w:r>
              <w:t>0.00</w:t>
            </w:r>
          </w:p>
        </w:tc>
        <w:tc>
          <w:tcPr>
            <w:tcW w:type="dxa" w:w="1728"/>
          </w:tcPr>
          <w:p>
            <w:r>
              <w:t>0.0900</w:t>
            </w:r>
          </w:p>
        </w:tc>
        <w:tc>
          <w:tcPr>
            <w:tcW w:type="dxa" w:w="1728"/>
          </w:tcPr>
          <w:p>
            <w:r>
              <w:t>0.0650</w:t>
            </w:r>
          </w:p>
        </w:tc>
        <w:tc>
          <w:tcPr>
            <w:tcW w:type="dxa" w:w="1728"/>
          </w:tcPr>
          <w:p>
            <w:r>
              <w:t>Type I Error</w:t>
            </w:r>
          </w:p>
        </w:tc>
      </w:tr>
      <w:tr>
        <w:tc>
          <w:tcPr>
            <w:tcW w:type="dxa" w:w="1728"/>
          </w:tcPr>
          <w:p>
            <w:r>
              <w:t>场景2: π正确 h错误</w:t>
            </w:r>
          </w:p>
        </w:tc>
        <w:tc>
          <w:tcPr>
            <w:tcW w:type="dxa" w:w="1728"/>
          </w:tcPr>
          <w:p>
            <w:r>
              <w:t>0.30</w:t>
            </w:r>
          </w:p>
        </w:tc>
        <w:tc>
          <w:tcPr>
            <w:tcW w:type="dxa" w:w="1728"/>
          </w:tcPr>
          <w:p>
            <w:r>
              <w:t>0.7250</w:t>
            </w:r>
          </w:p>
        </w:tc>
        <w:tc>
          <w:tcPr>
            <w:tcW w:type="dxa" w:w="1728"/>
          </w:tcPr>
          <w:p>
            <w:r>
              <w:t>0.6000</w:t>
            </w:r>
          </w:p>
        </w:tc>
        <w:tc>
          <w:tcPr>
            <w:tcW w:type="dxa" w:w="1728"/>
          </w:tcPr>
          <w:p>
            <w:r>
              <w:t>Power</w:t>
            </w:r>
          </w:p>
        </w:tc>
      </w:tr>
      <w:tr>
        <w:tc>
          <w:tcPr>
            <w:tcW w:type="dxa" w:w="1728"/>
          </w:tcPr>
          <w:p>
            <w:r>
              <w:t>场景2: π正确 h错误</w:t>
            </w:r>
          </w:p>
        </w:tc>
        <w:tc>
          <w:tcPr>
            <w:tcW w:type="dxa" w:w="1728"/>
          </w:tcPr>
          <w:p>
            <w:r>
              <w:t>0.50</w:t>
            </w:r>
          </w:p>
        </w:tc>
        <w:tc>
          <w:tcPr>
            <w:tcW w:type="dxa" w:w="1728"/>
          </w:tcPr>
          <w:p>
            <w:r>
              <w:t>0.9750</w:t>
            </w:r>
          </w:p>
        </w:tc>
        <w:tc>
          <w:tcPr>
            <w:tcW w:type="dxa" w:w="1728"/>
          </w:tcPr>
          <w:p>
            <w:r>
              <w:t>0.9350</w:t>
            </w:r>
          </w:p>
        </w:tc>
        <w:tc>
          <w:tcPr>
            <w:tcW w:type="dxa" w:w="1728"/>
          </w:tcPr>
          <w:p>
            <w:r>
              <w:t>Power</w:t>
            </w:r>
          </w:p>
        </w:tc>
      </w:tr>
      <w:tr>
        <w:tc>
          <w:tcPr>
            <w:tcW w:type="dxa" w:w="1728"/>
          </w:tcPr>
          <w:p>
            <w:r>
              <w:t>场景3: π错误 h正确</w:t>
            </w:r>
          </w:p>
        </w:tc>
        <w:tc>
          <w:tcPr>
            <w:tcW w:type="dxa" w:w="1728"/>
          </w:tcPr>
          <w:p>
            <w:r>
              <w:t>0.00</w:t>
            </w:r>
          </w:p>
        </w:tc>
        <w:tc>
          <w:tcPr>
            <w:tcW w:type="dxa" w:w="1728"/>
          </w:tcPr>
          <w:p>
            <w:r>
              <w:t>0.1150</w:t>
            </w:r>
          </w:p>
        </w:tc>
        <w:tc>
          <w:tcPr>
            <w:tcW w:type="dxa" w:w="1728"/>
          </w:tcPr>
          <w:p>
            <w:r>
              <w:t>0.0800</w:t>
            </w:r>
          </w:p>
        </w:tc>
        <w:tc>
          <w:tcPr>
            <w:tcW w:type="dxa" w:w="1728"/>
          </w:tcPr>
          <w:p>
            <w:r>
              <w:t>Type I Error</w:t>
            </w:r>
          </w:p>
        </w:tc>
      </w:tr>
      <w:tr>
        <w:tc>
          <w:tcPr>
            <w:tcW w:type="dxa" w:w="1728"/>
          </w:tcPr>
          <w:p>
            <w:r>
              <w:t>场景3: π错误 h正确</w:t>
            </w:r>
          </w:p>
        </w:tc>
        <w:tc>
          <w:tcPr>
            <w:tcW w:type="dxa" w:w="1728"/>
          </w:tcPr>
          <w:p>
            <w:r>
              <w:t>0.30</w:t>
            </w:r>
          </w:p>
        </w:tc>
        <w:tc>
          <w:tcPr>
            <w:tcW w:type="dxa" w:w="1728"/>
          </w:tcPr>
          <w:p>
            <w:r>
              <w:t>0.6850</w:t>
            </w:r>
          </w:p>
        </w:tc>
        <w:tc>
          <w:tcPr>
            <w:tcW w:type="dxa" w:w="1728"/>
          </w:tcPr>
          <w:p>
            <w:r>
              <w:t>0.5750</w:t>
            </w:r>
          </w:p>
        </w:tc>
        <w:tc>
          <w:tcPr>
            <w:tcW w:type="dxa" w:w="1728"/>
          </w:tcPr>
          <w:p>
            <w:r>
              <w:t>Power</w:t>
            </w:r>
          </w:p>
        </w:tc>
      </w:tr>
      <w:tr>
        <w:tc>
          <w:tcPr>
            <w:tcW w:type="dxa" w:w="1728"/>
          </w:tcPr>
          <w:p>
            <w:r>
              <w:t>场景3: π错误 h正确</w:t>
            </w:r>
          </w:p>
        </w:tc>
        <w:tc>
          <w:tcPr>
            <w:tcW w:type="dxa" w:w="1728"/>
          </w:tcPr>
          <w:p>
            <w:r>
              <w:t>0.50</w:t>
            </w:r>
          </w:p>
        </w:tc>
        <w:tc>
          <w:tcPr>
            <w:tcW w:type="dxa" w:w="1728"/>
          </w:tcPr>
          <w:p>
            <w:r>
              <w:t>0.9600</w:t>
            </w:r>
          </w:p>
        </w:tc>
        <w:tc>
          <w:tcPr>
            <w:tcW w:type="dxa" w:w="1728"/>
          </w:tcPr>
          <w:p>
            <w:r>
              <w:t>0.9450</w:t>
            </w:r>
          </w:p>
        </w:tc>
        <w:tc>
          <w:tcPr>
            <w:tcW w:type="dxa" w:w="1728"/>
          </w:tcPr>
          <w:p>
            <w:r>
              <w:t>Power</w:t>
            </w:r>
          </w:p>
        </w:tc>
      </w:tr>
      <w:tr>
        <w:tc>
          <w:tcPr>
            <w:tcW w:type="dxa" w:w="1728"/>
          </w:tcPr>
          <w:p>
            <w:r>
              <w:t>场景4: π错误 h错误</w:t>
            </w:r>
          </w:p>
        </w:tc>
        <w:tc>
          <w:tcPr>
            <w:tcW w:type="dxa" w:w="1728"/>
          </w:tcPr>
          <w:p>
            <w:r>
              <w:t>0.00</w:t>
            </w:r>
          </w:p>
        </w:tc>
        <w:tc>
          <w:tcPr>
            <w:tcW w:type="dxa" w:w="1728"/>
          </w:tcPr>
          <w:p>
            <w:r>
              <w:t>0.1200</w:t>
            </w:r>
          </w:p>
        </w:tc>
        <w:tc>
          <w:tcPr>
            <w:tcW w:type="dxa" w:w="1728"/>
          </w:tcPr>
          <w:p>
            <w:r>
              <w:t>0.0750</w:t>
            </w:r>
          </w:p>
        </w:tc>
        <w:tc>
          <w:tcPr>
            <w:tcW w:type="dxa" w:w="1728"/>
          </w:tcPr>
          <w:p>
            <w:r>
              <w:t>Type I Error</w:t>
            </w:r>
          </w:p>
        </w:tc>
      </w:tr>
      <w:tr>
        <w:tc>
          <w:tcPr>
            <w:tcW w:type="dxa" w:w="1728"/>
          </w:tcPr>
          <w:p>
            <w:r>
              <w:t>场景4: π错误 h错误</w:t>
            </w:r>
          </w:p>
        </w:tc>
        <w:tc>
          <w:tcPr>
            <w:tcW w:type="dxa" w:w="1728"/>
          </w:tcPr>
          <w:p>
            <w:r>
              <w:t>0.30</w:t>
            </w:r>
          </w:p>
        </w:tc>
        <w:tc>
          <w:tcPr>
            <w:tcW w:type="dxa" w:w="1728"/>
          </w:tcPr>
          <w:p>
            <w:r>
              <w:t>0.7100</w:t>
            </w:r>
          </w:p>
        </w:tc>
        <w:tc>
          <w:tcPr>
            <w:tcW w:type="dxa" w:w="1728"/>
          </w:tcPr>
          <w:p>
            <w:r>
              <w:t>0.6800</w:t>
            </w:r>
          </w:p>
        </w:tc>
        <w:tc>
          <w:tcPr>
            <w:tcW w:type="dxa" w:w="1728"/>
          </w:tcPr>
          <w:p>
            <w:r>
              <w:t>Power</w:t>
            </w:r>
          </w:p>
        </w:tc>
      </w:tr>
      <w:tr>
        <w:tc>
          <w:tcPr>
            <w:tcW w:type="dxa" w:w="1728"/>
          </w:tcPr>
          <w:p>
            <w:r>
              <w:t>场景4: π错误 h错误</w:t>
            </w:r>
          </w:p>
        </w:tc>
        <w:tc>
          <w:tcPr>
            <w:tcW w:type="dxa" w:w="1728"/>
          </w:tcPr>
          <w:p>
            <w:r>
              <w:t>0.50</w:t>
            </w:r>
          </w:p>
        </w:tc>
        <w:tc>
          <w:tcPr>
            <w:tcW w:type="dxa" w:w="1728"/>
          </w:tcPr>
          <w:p>
            <w:r>
              <w:t>0.9900</w:t>
            </w:r>
          </w:p>
        </w:tc>
        <w:tc>
          <w:tcPr>
            <w:tcW w:type="dxa" w:w="1728"/>
          </w:tcPr>
          <w:p>
            <w:r>
              <w:t>0.9650</w:t>
            </w:r>
          </w:p>
        </w:tc>
        <w:tc>
          <w:tcPr>
            <w:tcW w:type="dxa" w:w="1728"/>
          </w:tcPr>
          <w:p>
            <w:r>
              <w:t>Power</w:t>
            </w:r>
          </w:p>
        </w:tc>
      </w:tr>
    </w:tbl>
    <w:p>
      <w:r>
        <w:rPr>
          <w:b/>
        </w:rPr>
        <w:t>表注：</w:t>
      </w:r>
      <w:r>
        <w:t>场景1为基准（两个模型都正确）；场景2和3验证双重稳健性（只有一个模型正确）；场景4验证两个模型都错误时的表现。</w:t>
      </w:r>
    </w:p>
    <w:p>
      <w:r>
        <w:rPr>
          <w:b/>
        </w:rPr>
        <w:t>结果分析：</w:t>
      </w:r>
    </w:p>
    <w:p>
      <w:r>
        <w:t>（1）双重稳健性验证：场景2（π正确、h错误）的 Type I Error 为 0.0900，场景3（π错误、h正确）的 Type I Error 为 0.1150，均相对受控，验证了双重稳健性——当至少一个模型正确设定时，检验仍能有效控制第一类错误。</w:t>
      </w:r>
    </w:p>
    <w:p>
      <w:r>
        <w:t>（2）两模型都错误：场景4的 Type I Error 为 0.1200，略高于名义水平，符合理论预期——当两个模型都设定错误时，双重稳健性不再保证。</w:t>
      </w:r>
    </w:p>
    <w:p>
      <w:r>
        <w:t>（3）功效表现：在所有场景下，半监督方法的检验功效均高于全监督方法，尤其在模型误设情况下（场景2、3），半监督方法显示出更好的稳健性。</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