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Maniranjan Kumar</w:t>
      </w:r>
    </w:p>
    <w:p w:rsidR="00000000" w:rsidDel="00000000" w:rsidP="00000000" w:rsidRDefault="00000000" w:rsidRPr="00000000" w14:paraId="00000002">
      <w:pPr>
        <w:tabs>
          <w:tab w:val="left" w:pos="3870"/>
        </w:tabs>
        <w:ind w:right="-198"/>
        <w:jc w:val="center"/>
        <w:rPr/>
      </w:pPr>
      <w:r w:rsidDel="00000000" w:rsidR="00000000" w:rsidRPr="00000000">
        <w:rPr>
          <w:rtl w:val="0"/>
        </w:rPr>
        <w:t xml:space="preserve">Bangalore, Karnataka 560076</w:t>
      </w:r>
    </w:p>
    <w:p w:rsidR="00000000" w:rsidDel="00000000" w:rsidP="00000000" w:rsidRDefault="00000000" w:rsidRPr="00000000" w14:paraId="00000003">
      <w:pPr>
        <w:tabs>
          <w:tab w:val="left" w:pos="3870"/>
        </w:tabs>
        <w:ind w:right="-198"/>
        <w:jc w:val="center"/>
        <w:rPr/>
      </w:pPr>
      <w:r w:rsidDel="00000000" w:rsidR="00000000" w:rsidRPr="00000000">
        <w:rPr>
          <w:rtl w:val="0"/>
        </w:rPr>
        <w:t xml:space="preserve">+91 750 710 6363 / +91 814 773 1843</w:t>
      </w:r>
    </w:p>
    <w:p w:rsidR="00000000" w:rsidDel="00000000" w:rsidP="00000000" w:rsidRDefault="00000000" w:rsidRPr="00000000" w14:paraId="00000004">
      <w:pPr>
        <w:tabs>
          <w:tab w:val="left" w:pos="3870"/>
        </w:tabs>
        <w:ind w:right="-198"/>
        <w:jc w:val="center"/>
        <w:rPr>
          <w:color w:val="0000ff"/>
          <w:u w:val="single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maniranjan.kumar@insead.edu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870"/>
        </w:tabs>
        <w:ind w:right="-198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9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84"/>
        <w:gridCol w:w="9614"/>
        <w:tblGridChange w:id="0">
          <w:tblGrid>
            <w:gridCol w:w="1384"/>
            <w:gridCol w:w="9614"/>
          </w:tblGrid>
        </w:tblGridChange>
      </w:tblGrid>
      <w:tr>
        <w:trPr>
          <w:cantSplit w:val="0"/>
          <w:trHeight w:val="201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right" w:pos="927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right" w:pos="927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 years of diverse experience in corporate strategy in starting up, in CEO’s office, in buy-side in a hedge fund, in operations in fund management, and in technology management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Proven ability to work with executive teams in strategy and business planning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Experience in building teams, initiating new set-ups and transition management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360" w:right="864" w:hanging="360"/>
              <w:jc w:val="both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  <w:t xml:space="preserve">Experience of starting up in media and entertainment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right" w:pos="927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Working, pro bono, as startup advisor, mentor with several institutions, including IITs and Startup Karnataka, and helping a few startups with product development and product-market fit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Member of INSEAD Angels in India and an active pre-seed stage investor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  <w:t xml:space="preserve">2020-Current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Deutsche Bank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6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Director, </w:t>
            </w:r>
            <w:r w:rsidDel="00000000" w:rsidR="00000000" w:rsidRPr="00000000">
              <w:rPr>
                <w:b w:val="1"/>
                <w:rtl w:val="0"/>
              </w:rPr>
              <w:t xml:space="preserve">Office of the CFO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(Head of Engineering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Accounting)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Leading an engineering team of 650 employees and vendors distributed across Pune, Bengaluru, Mumbai, Singapore, Cary, London, and Madrid with an annual budget in excess of $50mm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Managing P&amp;L, Accounting and SAP S/4HANA teams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Driving engineering culture across the group and transforming technology processes and platforms in transitioning to micro-frontends, polyglot, CI/CD, Devops, Cloud (GCP), Automation and AI/ML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360" w:right="864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Building Daily Close strategic platform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right" w:pos="927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2018-2020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JP Morgan Asset and Wealth Management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Bengaluru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6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Executive Director, OTC Derivatives and Investments Data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Managing a budget of $12mm and leading teams distributed across Bengaluru, Singapore and Mumbai to build, enhance and manage all enterprise common applications across Wealth Management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Managing the Investments Data team to transition the investment data and generate consensus across the organization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Collaborating with Tick42, a niche European start-up, to enhance user experience across Wealth Management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360" w:right="864" w:hanging="360"/>
              <w:jc w:val="both"/>
              <w:rPr>
                <w:b w:val="0"/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Implemented an unsupervised machine learning model that classifies failed trade submissions to regulators and prepares data for resubmission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tabs>
                <w:tab w:val="right" w:pos="927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2014-2018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Citi Private Bank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6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Vice President, Data and Client Reporting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Managed roadmap, cost rationalization and transition for 12 different platforms with an annual budget of $11mm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Created and supervised team of 104 Business Analysts, Product Owners and Software Developers including 7 Vice Presidents and 19 temporary staff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Consistently rated in the top 10% of the workforce and selected for the prestigious global Citi Institutional Clients Group VP development program as a high potential candidate and as a recognition for building the high-performance team with almost 0% attrition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Transitioned twelve platforms, products and associated processes from global locations as part of vendor consolidation programs and high-cost to low-cost initiatives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Conceptualized and productionized daily investment performance calculation engine on the big data platform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360" w:right="864" w:hanging="360"/>
              <w:jc w:val="both"/>
              <w:rPr>
                <w:b w:val="0"/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Managed vendors for platforms and processes, which required augmentation and short-term execution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tabs>
                <w:tab w:val="right" w:pos="927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Cunomial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Bangalore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622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Co-founder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Started out as a media and entertainment analytics platform and pivoted to a SaaS product company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Conceptualized and developed the prototype of the platform and built the core team</w:t>
            </w:r>
          </w:p>
        </w:tc>
      </w:tr>
      <w:tr>
        <w:trPr>
          <w:cantSplit w:val="0"/>
          <w:trHeight w:val="12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  <w:t xml:space="preserve">2011-2012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Russell Investments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 York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Hedge Funds Portfolio Analyst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Co-managed USD 1.2 bn in institutional and retail (BB: RMSEX) multi-strategy alternative funds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Prepared investment memoranda and fund positioning documents for monthly, quarterly and annual review processes of sounding boards and investment committees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Monitored and improved portfolio analytic calculation processes for hedge fund products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Supported Portfolio Manager with daily responsibilities, including trade settlement, portfolio pricing, fund reconciliation and liquidity monitoring, taking into consideration portfolio weightings and goals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Attributed performance for multiple hedge fund portfolios/strategies and reported results to Senior Portfolio Manager, executive team and external clients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Developed new products, including a retail hedge fund, one of the firsts in the industry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Interfaced with CEO’s office, heads, sales, marketing, legal, tech, compliance and ops to manage the launch of the business, day-to-day issues as well as longer-term projects to improve existing processes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Managed vendors to implement tools for the business, including Salesforce AIX and RiskMetrics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Established trading processes, offshore account management and commodities collateral accounts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  <w:t xml:space="preserve">2010-2011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Russell Investments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Seattle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Strategy Manager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Rated in the top 10% of the workforce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Diagnosed sales planning and management processes, and established a new standard in sales activity management across Russell, and led the organization-wide implementation of the new standards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Defined transition from SalesLogix to Salesforce for institutional and retail businesses, negotiated pricing, managed stakeholders, created common grounds and provided strategic support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Profiled Russell’s most significant competitors for the CEO and the executive committee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Facilitated one- and three-year strategic planning processes to support short and long term strategic decisions for the large market segment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Analyzed market for Endowments &amp; Foundations and evaluated growth opportunities across segment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Benchmarked RFPs for Endowments and identified key decision criteria for competitive responses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  <w:t xml:space="preserve">2001-2008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Infosys Technologies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 York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622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Programmer Analyst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Designed and developed account analysis and reporting platforms, consisting of data warehouses, business intelligence and web-based applications/systems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Led a multi-vendor team to introduce the Private Bank account analysis and reporting platform, consisting of data warehouse, business intelligence and web-based applications/systems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Developed an in-house workflow product and a straight-through account opening platform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Analyzed transactions data for position aggregation across asset classes in client portfolio reporting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Developed statement groups, statements and demographic components of the account analysis platform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ind w:left="360" w:right="8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Campaigned and initiated two $1m engagements as a part of the pre-sales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tabs>
                <w:tab w:val="right" w:pos="8604"/>
              </w:tabs>
              <w:jc w:val="both"/>
              <w:rPr>
                <w:b w:val="0"/>
                <w:smallCaps w:val="0"/>
              </w:rPr>
            </w:pPr>
            <w:r w:rsidDel="00000000" w:rsidR="00000000" w:rsidRPr="00000000">
              <w:rPr>
                <w:b w:val="0"/>
                <w:smallCaps w:val="0"/>
                <w:rtl w:val="0"/>
              </w:rPr>
              <w:t xml:space="preserve">Master of Business Administration (Full-time MBA)</w:t>
            </w:r>
          </w:p>
          <w:p w:rsidR="00000000" w:rsidDel="00000000" w:rsidP="00000000" w:rsidRDefault="00000000" w:rsidRPr="00000000" w14:paraId="000000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GMAT 750 (Quantitative 51, Verbal 40), Member of INSEAD Private Equity Club and High-Tech Club</w:t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  <w:t xml:space="preserve">1996-2000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Bihar Institute of Technology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Sindri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41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Bachelor of Engineering (Electrical Engineering)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Secretary of Model and Prototyping Club, Convenor of Photography Club, and Chair of The Electrical Society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2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270"/>
                <w:tab w:val="right" w:pos="8604"/>
              </w:tabs>
              <w:spacing w:after="0" w:before="0" w:line="240" w:lineRule="auto"/>
              <w:ind w:left="0" w:right="16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tabs>
                <w:tab w:val="right" w:pos="927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experiences</w:t>
            </w:r>
          </w:p>
          <w:p w:rsidR="00000000" w:rsidDel="00000000" w:rsidP="00000000" w:rsidRDefault="00000000" w:rsidRPr="00000000" w14:paraId="00000078">
            <w:pPr>
              <w:widowControl w:val="0"/>
              <w:tabs>
                <w:tab w:val="right" w:pos="92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Internship with 3V SourceOne Capital in venture capital (2009)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Internship with Indiabulls Power in corporate finance (2009)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Internship with Damodar Valley Corporation in power generation and transmission (1999)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 bono mentoring and advisory for early-stage startups (2017-Current)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Jury and coach for Startup Karnataka, Karnataka Digital Mission and NASSCOM (2020-Current)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tabs>
                <w:tab w:val="right" w:pos="927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tabs>
                <w:tab w:val="right" w:pos="927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Publications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investment case for emerging market debt (2012), Journal of portfolio management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 of floating-rate bank loans in institutional portfolios (2011), Russell Communique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Investing in natural resources (2012), Russell Communique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bidi="ar-SA" w:val="en-US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teHidden" w:customStyle="1">
    <w:name w:val="NoteHidden"/>
    <w:basedOn w:val="Normal"/>
    <w:rPr>
      <w:rFonts w:ascii="Arial" w:hAnsi="Arial"/>
      <w:b w:val="1"/>
      <w:vanish w:val="1"/>
      <w:color w:val="ff0000"/>
      <w:sz w:val="16"/>
    </w:rPr>
  </w:style>
  <w:style w:type="paragraph" w:styleId="NormalSubList" w:customStyle="1">
    <w:name w:val="NormalSubList"/>
    <w:basedOn w:val="Normal"/>
    <w:pPr>
      <w:keepLines w:val="1"/>
      <w:tabs>
        <w:tab w:val="left" w:pos="0"/>
        <w:tab w:val="left" w:pos="360"/>
        <w:tab w:val="left" w:pos="3240"/>
      </w:tabs>
      <w:spacing w:before="60"/>
      <w:ind w:left="360" w:hanging="360"/>
    </w:pPr>
    <w:rPr>
      <w:color w:val="000000"/>
    </w:rPr>
  </w:style>
  <w:style w:type="paragraph" w:styleId="ResumeText" w:customStyle="1">
    <w:name w:val="ResumeText"/>
    <w:basedOn w:val="Normal"/>
    <w:pPr>
      <w:spacing w:after="60"/>
    </w:pPr>
  </w:style>
  <w:style w:type="paragraph" w:styleId="ResumeBullet" w:customStyle="1">
    <w:name w:val="ResumeBullet"/>
    <w:basedOn w:val="ResumeText"/>
    <w:pPr>
      <w:tabs>
        <w:tab w:val="right" w:pos="8064"/>
      </w:tabs>
      <w:spacing w:after="20"/>
      <w:ind w:left="259" w:hanging="259"/>
      <w:jc w:val="both"/>
    </w:pPr>
  </w:style>
  <w:style w:type="character" w:styleId="OrgName" w:customStyle="1">
    <w:name w:val="OrgName"/>
    <w:rPr>
      <w:b w:val="1"/>
      <w:caps w:val="1"/>
    </w:rPr>
  </w:style>
  <w:style w:type="character" w:styleId="JobTitle" w:customStyle="1">
    <w:name w:val="JobTitle"/>
    <w:rPr>
      <w:b w:val="1"/>
    </w:rPr>
  </w:style>
  <w:style w:type="paragraph" w:styleId="Spacer" w:customStyle="1">
    <w:name w:val="Spacer"/>
    <w:basedOn w:val="Normal"/>
    <w:pPr>
      <w:tabs>
        <w:tab w:val="right" w:pos="9270"/>
      </w:tabs>
      <w:ind w:right="162"/>
      <w:jc w:val="right"/>
    </w:pPr>
  </w:style>
  <w:style w:type="paragraph" w:styleId="ResumeJobHead" w:customStyle="1">
    <w:name w:val="ResumeJobHead"/>
    <w:basedOn w:val="ResumeText"/>
    <w:next w:val="ResumeText"/>
    <w:pPr>
      <w:spacing w:after="0"/>
      <w:jc w:val="both"/>
    </w:pPr>
  </w:style>
  <w:style w:type="character" w:styleId="hidden" w:customStyle="1">
    <w:name w:val="hidden"/>
    <w:rPr>
      <w:vanish w:val="1"/>
      <w:color w:val="ff000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ascii="Arial" w:hAnsi="Arial"/>
    </w:rPr>
  </w:style>
  <w:style w:type="paragraph" w:styleId="BulletLevel1" w:customStyle="1">
    <w:name w:val="Bullet Level 1"/>
    <w:basedOn w:val="Normal"/>
    <w:pPr>
      <w:numPr>
        <w:numId w:val="5"/>
      </w:numPr>
    </w:pPr>
    <w:rPr>
      <w:rFonts w:ascii="Arial" w:hAnsi="Arial"/>
    </w:rPr>
  </w:style>
  <w:style w:type="paragraph" w:styleId="Institution" w:customStyle="1">
    <w:name w:val="Institution"/>
    <w:basedOn w:val="Normal"/>
    <w:next w:val="Normal"/>
    <w:rsid w:val="00DB2B2E"/>
    <w:pPr>
      <w:tabs>
        <w:tab w:val="left" w:pos="1440"/>
        <w:tab w:val="right" w:pos="6480"/>
      </w:tabs>
      <w:spacing w:before="120"/>
    </w:pPr>
    <w:rPr>
      <w:b w:val="1"/>
      <w:sz w:val="22"/>
    </w:rPr>
  </w:style>
  <w:style w:type="paragraph" w:styleId="ListParagraph">
    <w:name w:val="List Paragraph"/>
    <w:basedOn w:val="Normal"/>
    <w:uiPriority w:val="34"/>
    <w:qFormat w:val="1"/>
    <w:rsid w:val="00F17A63"/>
    <w:pPr>
      <w:spacing w:after="200" w:line="276" w:lineRule="auto"/>
      <w:ind w:left="720"/>
      <w:contextualSpacing w:val="1"/>
    </w:pPr>
    <w:rPr>
      <w:rFonts w:ascii="Calibri" w:cs="Mangal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F17A63"/>
    <w:pPr>
      <w:tabs>
        <w:tab w:val="center" w:pos="4680"/>
        <w:tab w:val="right" w:pos="9360"/>
      </w:tabs>
    </w:pPr>
    <w:rPr>
      <w:rFonts w:ascii="Calibri" w:cs="Mangal" w:hAnsi="Calibri"/>
      <w:sz w:val="22"/>
      <w:szCs w:val="22"/>
    </w:rPr>
  </w:style>
  <w:style w:type="character" w:styleId="FooterChar" w:customStyle="1">
    <w:name w:val="Footer Char"/>
    <w:link w:val="Footer"/>
    <w:uiPriority w:val="99"/>
    <w:rsid w:val="00F17A63"/>
    <w:rPr>
      <w:rFonts w:ascii="Calibri" w:cs="Mangal" w:hAnsi="Calibri"/>
      <w:sz w:val="22"/>
      <w:szCs w:val="22"/>
      <w:lang w:eastAsia="en-US" w:val="en-US"/>
    </w:rPr>
  </w:style>
  <w:style w:type="character" w:styleId="FollowedHyperlink">
    <w:name w:val="FollowedHyperlink"/>
    <w:rsid w:val="006B1A9A"/>
    <w:rPr>
      <w:color w:val="954f72"/>
      <w:u w:val="single"/>
    </w:rPr>
  </w:style>
  <w:style w:type="table" w:styleId="TableGrid">
    <w:name w:val="Table Grid"/>
    <w:basedOn w:val="TableNormal"/>
    <w:rsid w:val="00563B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Light">
    <w:name w:val="Grid Table Light"/>
    <w:basedOn w:val="TableNormal"/>
    <w:uiPriority w:val="40"/>
    <w:rsid w:val="004249A7"/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type="table" w:styleId="PlainTable4">
    <w:name w:val="Plain Table 4"/>
    <w:basedOn w:val="TableNormal"/>
    <w:uiPriority w:val="44"/>
    <w:rsid w:val="004277E2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PlainTable5">
    <w:name w:val="Plain Table 5"/>
    <w:basedOn w:val="TableNormal"/>
    <w:uiPriority w:val="45"/>
    <w:rsid w:val="004277E2"/>
    <w:tblPr>
      <w:tblStyleRowBandSize w:val="1"/>
      <w:tblStyleColBandSize w:val="1"/>
    </w:tblPr>
    <w:tblStylePr w:type="firstRow">
      <w:rPr>
        <w:rFonts w:ascii="Calibri Light" w:cs="Times New Roman" w:eastAsia="Times New Roman" w:hAnsi="Calibri Light"/>
        <w:i w:val="1"/>
        <w:iCs w:val="1"/>
        <w:sz w:val="26"/>
      </w:rPr>
      <w:tblPr/>
      <w:tcPr>
        <w:tcBorders>
          <w:bottom w:color="7f7f7f" w:space="0" w:sz="4" w:val="single"/>
        </w:tcBorders>
        <w:shd w:color="auto" w:fill="ffffff" w:val="clear"/>
      </w:tcPr>
    </w:tblStylePr>
    <w:tblStylePr w:type="lastRow">
      <w:rPr>
        <w:rFonts w:ascii="Calibri Light" w:cs="Times New Roman" w:eastAsia="Times New Roman" w:hAnsi="Calibri Light"/>
        <w:i w:val="1"/>
        <w:iCs w:val="1"/>
        <w:sz w:val="26"/>
      </w:rPr>
      <w:tblPr/>
      <w:tcPr>
        <w:tcBorders>
          <w:top w:color="7f7f7f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 Light" w:cs="Times New Roman" w:eastAsia="Times New Roman" w:hAnsi="Calibri Light"/>
        <w:i w:val="1"/>
        <w:iCs w:val="1"/>
        <w:sz w:val="26"/>
      </w:rPr>
      <w:tblPr/>
      <w:tcPr>
        <w:tcBorders>
          <w:right w:color="7f7f7f" w:space="0" w:sz="4" w:val="single"/>
        </w:tcBorders>
        <w:shd w:color="auto" w:fill="ffffff" w:val="clear"/>
      </w:tcPr>
    </w:tblStylePr>
    <w:tblStylePr w:type="lastCol">
      <w:rPr>
        <w:rFonts w:ascii="Calibri Light" w:cs="Times New Roman" w:eastAsia="Times New Roman" w:hAnsi="Calibri Light"/>
        <w:i w:val="1"/>
        <w:iCs w:val="1"/>
        <w:sz w:val="26"/>
      </w:rPr>
      <w:tblPr/>
      <w:tcPr>
        <w:tcBorders>
          <w:left w:color="7f7f7f" w:space="0" w:sz="4" w:val="single"/>
        </w:tcBorders>
        <w:shd w:color="auto" w:fill="ffffff" w:val="clear"/>
      </w:tc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GridTable1Light">
    <w:name w:val="Grid Table 1 Light"/>
    <w:basedOn w:val="TableNormal"/>
    <w:uiPriority w:val="46"/>
    <w:rsid w:val="004277E2"/>
    <w:tblPr>
      <w:tblStyleRowBandSize w:val="1"/>
      <w:tblStyleColBandSize w:val="1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4277E2"/>
    <w:tblPr>
      <w:tblStyleRowBandSize w:val="1"/>
      <w:tblStyleColBandSize w:val="1"/>
      <w:tblBorders>
        <w:top w:color="b4c6e7" w:space="0" w:sz="4" w:val="single"/>
        <w:left w:color="b4c6e7" w:space="0" w:sz="4" w:val="single"/>
        <w:bottom w:color="b4c6e7" w:space="0" w:sz="4" w:val="single"/>
        <w:right w:color="b4c6e7" w:space="0" w:sz="4" w:val="single"/>
        <w:insideH w:color="b4c6e7" w:space="0" w:sz="4" w:val="single"/>
        <w:insideV w:color="b4c6e7" w:space="0" w:sz="4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Accent2">
    <w:name w:val="Grid Table 1 Light Accent 2"/>
    <w:basedOn w:val="TableNormal"/>
    <w:uiPriority w:val="46"/>
    <w:rsid w:val="004277E2"/>
    <w:tblPr>
      <w:tblStyleRowBandSize w:val="1"/>
      <w:tblStyleColBandSize w:val="1"/>
      <w:tblBorders>
        <w:top w:color="f7caac" w:space="0" w:sz="4" w:val="single"/>
        <w:left w:color="f7caac" w:space="0" w:sz="4" w:val="single"/>
        <w:bottom w:color="f7caac" w:space="0" w:sz="4" w:val="single"/>
        <w:right w:color="f7caac" w:space="0" w:sz="4" w:val="single"/>
        <w:insideH w:color="f7caac" w:space="0" w:sz="4" w:val="single"/>
        <w:insideV w:color="f7caac" w:space="0" w:sz="4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1">
    <w:name w:val="Plain Table 1"/>
    <w:basedOn w:val="TableNormal"/>
    <w:uiPriority w:val="41"/>
    <w:rsid w:val="003A16FF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3A16FF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3A16FF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niranjan.kumar@insea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qGxvylu/TvSE+TxdxzcmgfLPAw==">AMUW2mXGxBAf/48p7qEdXf8EcF2ip5o0of4Ze998IecQkdw5UE18KhZLteax9amGPBHqr1YOInOnHY4Sfx5le+tTz/5uLT0tMrY3BAgwJMWlpUBw5IG7ef0=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2020-08-18T03:18:00Z</dcterms:created>
  <dc:creator>maniranjan.kumar@jpmchase.com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544390181</vt:i4>
  </property>
  <property fmtid="{D5CDD505-2E9C-101B-9397-08002B2CF9AE}" pid="3" name="_EmailSubject">
    <vt:lpwstr>5/24/05 - Veritas MGP - Database systems demo</vt:lpwstr>
  </property>
  <property fmtid="{D5CDD505-2E9C-101B-9397-08002B2CF9AE}" pid="4" name="_AuthorEmail">
    <vt:lpwstr>markus@veritasprep.com</vt:lpwstr>
  </property>
  <property fmtid="{D5CDD505-2E9C-101B-9397-08002B2CF9AE}" pid="5" name="_AuthorEmailDisplayName">
    <vt:lpwstr>Markus Moberg</vt:lpwstr>
  </property>
  <property fmtid="{D5CDD505-2E9C-101B-9397-08002B2CF9AE}" pid="6" name="_ReviewingToolsShownOnce">
    <vt:lpwstr/>
  </property>
</Properties>
</file>