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w:type="default" r:id="rId5"/>
          <w:type w:val="continuous"/>
          <w:pgSz w:w="12240" w:h="15840"/>
          <w:pgMar w:header="719" w:top="1340" w:bottom="280" w:left="620" w:right="680"/>
          <w:pgNumType w:start="1"/>
        </w:sectPr>
      </w:pPr>
    </w:p>
    <w:p>
      <w:pPr>
        <w:pStyle w:val="BodyText"/>
        <w:rPr>
          <w:rFonts w:ascii="Times New Roman"/>
          <w:sz w:val="54"/>
        </w:rPr>
      </w:pPr>
    </w:p>
    <w:p>
      <w:pPr>
        <w:pStyle w:val="BodyText"/>
        <w:rPr>
          <w:rFonts w:ascii="Times New Roman"/>
          <w:sz w:val="54"/>
        </w:rPr>
      </w:pPr>
    </w:p>
    <w:p>
      <w:pPr>
        <w:pStyle w:val="BodyText"/>
        <w:rPr>
          <w:rFonts w:ascii="Times New Roman"/>
          <w:sz w:val="54"/>
        </w:rPr>
      </w:pPr>
    </w:p>
    <w:p>
      <w:pPr>
        <w:pStyle w:val="BodyText"/>
        <w:rPr>
          <w:rFonts w:ascii="Times New Roman"/>
          <w:sz w:val="54"/>
        </w:rPr>
      </w:pPr>
    </w:p>
    <w:p>
      <w:pPr>
        <w:pStyle w:val="BodyText"/>
        <w:rPr>
          <w:rFonts w:ascii="Times New Roman"/>
          <w:sz w:val="54"/>
        </w:rPr>
      </w:pPr>
    </w:p>
    <w:p>
      <w:pPr>
        <w:pStyle w:val="BodyText"/>
        <w:spacing w:before="8"/>
        <w:rPr>
          <w:rFonts w:ascii="Times New Roman"/>
          <w:sz w:val="66"/>
        </w:rPr>
      </w:pPr>
    </w:p>
    <w:p>
      <w:pPr>
        <w:pStyle w:val="Title"/>
        <w:spacing w:line="312" w:lineRule="auto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461009</wp:posOffset>
            </wp:positionH>
            <wp:positionV relativeFrom="paragraph">
              <wp:posOffset>-3981808</wp:posOffset>
            </wp:positionV>
            <wp:extent cx="3453129" cy="382879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129" cy="38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</w:rPr>
        <w:t>REMOTE PATIENT</w:t>
      </w:r>
      <w:r>
        <w:rPr>
          <w:color w:val="181818"/>
          <w:spacing w:val="1"/>
        </w:rPr>
        <w:t> </w:t>
      </w:r>
      <w:r>
        <w:rPr>
          <w:color w:val="181818"/>
        </w:rPr>
        <w:t>MONITORING (RPM) IN</w:t>
      </w:r>
      <w:r>
        <w:rPr>
          <w:color w:val="181818"/>
          <w:spacing w:val="-131"/>
        </w:rPr>
        <w:t> </w:t>
      </w:r>
      <w:r>
        <w:rPr>
          <w:color w:val="181818"/>
        </w:rPr>
        <w:t>DIABETES CARE:</w:t>
      </w:r>
    </w:p>
    <w:p>
      <w:pPr>
        <w:pStyle w:val="BodyText"/>
        <w:spacing w:line="276" w:lineRule="auto"/>
        <w:ind w:left="107" w:right="383"/>
        <w:rPr>
          <w:rFonts w:ascii="Cambria"/>
        </w:rPr>
      </w:pPr>
      <w:r>
        <w:rPr>
          <w:rFonts w:ascii="Cambria"/>
        </w:rPr>
        <w:t>OPPORTUNITIES,</w:t>
      </w:r>
      <w:r>
        <w:rPr>
          <w:rFonts w:ascii="Cambria"/>
          <w:spacing w:val="-6"/>
        </w:rPr>
        <w:t> </w:t>
      </w:r>
      <w:r>
        <w:rPr>
          <w:rFonts w:ascii="Cambria"/>
        </w:rPr>
        <w:t>CHALLENGES,</w:t>
      </w:r>
      <w:r>
        <w:rPr>
          <w:rFonts w:ascii="Cambria"/>
          <w:spacing w:val="-6"/>
        </w:rPr>
        <w:t> </w:t>
      </w:r>
      <w:r>
        <w:rPr>
          <w:rFonts w:ascii="Cambria"/>
        </w:rPr>
        <w:t>AND</w:t>
      </w:r>
      <w:r>
        <w:rPr>
          <w:rFonts w:ascii="Cambria"/>
          <w:spacing w:val="-6"/>
        </w:rPr>
        <w:t> </w:t>
      </w:r>
      <w:r>
        <w:rPr>
          <w:rFonts w:ascii="Cambria"/>
        </w:rPr>
        <w:t>STRATEGIC</w:t>
      </w:r>
      <w:r>
        <w:rPr>
          <w:rFonts w:ascii="Cambria"/>
          <w:spacing w:val="-50"/>
        </w:rPr>
        <w:t> </w:t>
      </w:r>
      <w:r>
        <w:rPr>
          <w:rFonts w:ascii="Cambria"/>
        </w:rPr>
        <w:t>RECOMMENDATIONS</w:t>
      </w:r>
    </w:p>
    <w:p>
      <w:pPr>
        <w:pStyle w:val="Heading1"/>
        <w:spacing w:before="248"/>
        <w:ind w:left="106"/>
      </w:pPr>
      <w:r>
        <w:rPr>
          <w:b w:val="0"/>
        </w:rPr>
        <w:br w:type="column"/>
      </w:r>
      <w:r>
        <w:rPr>
          <w:color w:val="C0504D"/>
        </w:rPr>
        <w:t>ABSTRACT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line="276" w:lineRule="auto" w:before="1"/>
        <w:ind w:left="106" w:right="106" w:firstLine="0"/>
        <w:jc w:val="left"/>
        <w:rPr>
          <w:rFonts w:ascii="Cambria"/>
          <w:sz w:val="26"/>
        </w:rPr>
      </w:pPr>
      <w:r>
        <w:rPr/>
        <w:pict>
          <v:shape style="position:absolute;margin-left:325.610016pt;margin-top:-229.247208pt;width:1.45pt;height:593.15pt;mso-position-horizontal-relative:page;mso-position-vertical-relative:paragraph;z-index:15728640" coordorigin="6512,-4585" coordsize="29,11863" path="m6541,-3289l6512,-3289,6512,7277,6541,7277,6541,-3289xm6541,-4585l6512,-4585,6512,-3289,6541,-3289,6541,-4585xe" filled="true" fillcolor="#c0504d" stroked="false">
            <v:path arrowok="t"/>
            <v:fill type="solid"/>
            <w10:wrap type="none"/>
          </v:shape>
        </w:pict>
      </w:r>
      <w:r>
        <w:rPr>
          <w:sz w:val="28"/>
        </w:rPr>
        <w:t>This report examines AI-driven</w:t>
      </w:r>
      <w:r>
        <w:rPr>
          <w:spacing w:val="1"/>
          <w:sz w:val="28"/>
        </w:rPr>
        <w:t> </w:t>
      </w:r>
      <w:r>
        <w:rPr>
          <w:sz w:val="28"/>
        </w:rPr>
        <w:t>diabetes prediction models and their</w:t>
      </w:r>
      <w:r>
        <w:rPr>
          <w:spacing w:val="-75"/>
          <w:sz w:val="28"/>
        </w:rPr>
        <w:t> </w:t>
      </w:r>
      <w:r>
        <w:rPr>
          <w:sz w:val="28"/>
        </w:rPr>
        <w:t>role in enhancing remote patient</w:t>
      </w:r>
      <w:r>
        <w:rPr>
          <w:spacing w:val="1"/>
          <w:sz w:val="28"/>
        </w:rPr>
        <w:t> </w:t>
      </w:r>
      <w:r>
        <w:rPr>
          <w:sz w:val="28"/>
        </w:rPr>
        <w:t>monitoring.</w:t>
      </w:r>
      <w:r>
        <w:rPr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highlights</w:t>
      </w:r>
      <w:r>
        <w:rPr>
          <w:spacing w:val="-4"/>
          <w:sz w:val="28"/>
        </w:rPr>
        <w:t> </w:t>
      </w:r>
      <w:r>
        <w:rPr>
          <w:sz w:val="28"/>
        </w:rPr>
        <w:t>opportunities</w:t>
      </w:r>
      <w:r>
        <w:rPr>
          <w:spacing w:val="-75"/>
          <w:sz w:val="28"/>
        </w:rPr>
        <w:t> </w:t>
      </w:r>
      <w:r>
        <w:rPr>
          <w:sz w:val="28"/>
        </w:rPr>
        <w:t>for Cotiviti to invest in AI-enabled</w:t>
      </w:r>
      <w:r>
        <w:rPr>
          <w:spacing w:val="1"/>
          <w:sz w:val="28"/>
        </w:rPr>
        <w:t> </w:t>
      </w:r>
      <w:r>
        <w:rPr>
          <w:sz w:val="28"/>
        </w:rPr>
        <w:t>platforms and partnerships with</w:t>
      </w:r>
      <w:r>
        <w:rPr>
          <w:spacing w:val="1"/>
          <w:sz w:val="28"/>
        </w:rPr>
        <w:t> </w:t>
      </w:r>
      <w:r>
        <w:rPr>
          <w:sz w:val="28"/>
        </w:rPr>
        <w:t>wearable technology providers to</w:t>
      </w:r>
      <w:r>
        <w:rPr>
          <w:spacing w:val="1"/>
          <w:sz w:val="28"/>
        </w:rPr>
        <w:t> </w:t>
      </w:r>
      <w:r>
        <w:rPr>
          <w:sz w:val="28"/>
        </w:rPr>
        <w:t>improve early diagnosis and reduce</w:t>
      </w:r>
      <w:r>
        <w:rPr>
          <w:spacing w:val="1"/>
          <w:sz w:val="28"/>
        </w:rPr>
        <w:t> </w:t>
      </w:r>
      <w:r>
        <w:rPr>
          <w:sz w:val="28"/>
        </w:rPr>
        <w:t>healthcare</w:t>
      </w:r>
      <w:r>
        <w:rPr>
          <w:spacing w:val="-3"/>
          <w:sz w:val="28"/>
        </w:rPr>
        <w:t> </w:t>
      </w:r>
      <w:r>
        <w:rPr>
          <w:sz w:val="28"/>
        </w:rPr>
        <w:t>costs</w:t>
      </w:r>
      <w:r>
        <w:rPr>
          <w:rFonts w:ascii="Cambria"/>
          <w:sz w:val="22"/>
        </w:rPr>
        <w:t>.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color w:val="C0504D"/>
          <w:sz w:val="26"/>
        </w:rPr>
        <w:t>Riha Kabeer</w:t>
      </w:r>
    </w:p>
    <w:p>
      <w:pPr>
        <w:spacing w:after="0" w:line="276" w:lineRule="auto"/>
        <w:jc w:val="left"/>
        <w:rPr>
          <w:rFonts w:ascii="Cambria"/>
          <w:sz w:val="26"/>
        </w:rPr>
        <w:sectPr>
          <w:type w:val="continuous"/>
          <w:pgSz w:w="12240" w:h="15840"/>
          <w:pgMar w:top="1340" w:bottom="280" w:left="620" w:right="680"/>
          <w:cols w:num="2" w:equalWidth="0">
            <w:col w:w="5584" w:space="574"/>
            <w:col w:w="4782"/>
          </w:cols>
        </w:sectPr>
      </w:pPr>
    </w:p>
    <w:p>
      <w:pPr>
        <w:pStyle w:val="Heading1"/>
      </w:pPr>
      <w:r>
        <w:rPr>
          <w:color w:val="C0504D"/>
        </w:rPr>
        <w:t>INTRODUCTION</w:t>
      </w:r>
    </w:p>
    <w:p>
      <w:pPr>
        <w:pStyle w:val="BodyText"/>
        <w:spacing w:line="276" w:lineRule="auto" w:before="49"/>
        <w:ind w:left="1180" w:right="1113"/>
        <w:jc w:val="both"/>
      </w:pPr>
      <w:r>
        <w:rPr/>
        <w:t>Remote Patient Monitoring (RPM) is rapidly changing the landscape of chronic</w:t>
      </w:r>
      <w:r>
        <w:rPr>
          <w:spacing w:val="1"/>
        </w:rPr>
        <w:t> </w:t>
      </w:r>
      <w:r>
        <w:rPr/>
        <w:t>disease management, particularly in diabetes care. RPM</w:t>
      </w:r>
      <w:r>
        <w:rPr>
          <w:spacing w:val="1"/>
        </w:rPr>
        <w:t> </w:t>
      </w:r>
      <w:r>
        <w:rPr/>
        <w:t>leverages wearable</w:t>
      </w:r>
      <w:r>
        <w:rPr>
          <w:spacing w:val="1"/>
        </w:rPr>
        <w:t> </w:t>
      </w:r>
      <w:r>
        <w:rPr/>
        <w:t>devices and health technologies to gather real-time data, allowing healthcare</w:t>
      </w:r>
      <w:r>
        <w:rPr>
          <w:spacing w:val="1"/>
        </w:rPr>
        <w:t> </w:t>
      </w:r>
      <w:r>
        <w:rPr/>
        <w:t>providers to monitor patients' health outside of traditional clinical settings. This</w:t>
      </w:r>
      <w:r>
        <w:rPr>
          <w:spacing w:val="1"/>
        </w:rPr>
        <w:t> </w:t>
      </w:r>
      <w:r>
        <w:rPr/>
        <w:t>technology is a key component of personalized medicine, helping clinicians make</w:t>
      </w:r>
      <w:r>
        <w:rPr>
          <w:spacing w:val="-64"/>
        </w:rPr>
        <w:t> </w:t>
      </w:r>
      <w:r>
        <w:rPr/>
        <w:t>data-driven decisions while enabling patients to take control of their own health.</w:t>
      </w:r>
      <w:r>
        <w:rPr>
          <w:spacing w:val="1"/>
        </w:rPr>
        <w:t> </w:t>
      </w:r>
      <w:r>
        <w:rPr/>
        <w:t>This report explores current trends in RPM, opportunities for Cotiviti to lead in this</w:t>
      </w:r>
      <w:r>
        <w:rPr>
          <w:spacing w:val="-64"/>
        </w:rPr>
        <w:t> </w:t>
      </w:r>
      <w:r>
        <w:rPr/>
        <w:t>emerging</w:t>
      </w:r>
      <w:r>
        <w:rPr>
          <w:spacing w:val="-3"/>
        </w:rPr>
        <w:t> </w:t>
      </w:r>
      <w:r>
        <w:rPr/>
        <w:t>field,</w:t>
      </w:r>
      <w:r>
        <w:rPr>
          <w:spacing w:val="-3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challenges,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strategic</w:t>
      </w:r>
      <w:r>
        <w:rPr>
          <w:spacing w:val="-1"/>
        </w:rPr>
        <w:t> </w:t>
      </w:r>
      <w:r>
        <w:rPr/>
        <w:t>recommendations.</w:t>
      </w:r>
    </w:p>
    <w:p>
      <w:pPr>
        <w:pStyle w:val="Heading1"/>
        <w:spacing w:before="201"/>
      </w:pPr>
      <w:r>
        <w:rPr>
          <w:color w:val="C0504D"/>
        </w:rPr>
        <w:t>TRENDS</w:t>
      </w:r>
      <w:r>
        <w:rPr>
          <w:color w:val="C0504D"/>
          <w:spacing w:val="-4"/>
        </w:rPr>
        <w:t> </w:t>
      </w:r>
      <w:r>
        <w:rPr>
          <w:color w:val="C0504D"/>
        </w:rPr>
        <w:t>IN</w:t>
      </w:r>
      <w:r>
        <w:rPr>
          <w:color w:val="C0504D"/>
          <w:spacing w:val="-4"/>
        </w:rPr>
        <w:t> </w:t>
      </w:r>
      <w:r>
        <w:rPr>
          <w:color w:val="C0504D"/>
        </w:rPr>
        <w:t>RPM</w:t>
      </w:r>
      <w:r>
        <w:rPr>
          <w:color w:val="C0504D"/>
          <w:spacing w:val="-1"/>
        </w:rPr>
        <w:t> </w:t>
      </w:r>
      <w:r>
        <w:rPr>
          <w:color w:val="C0504D"/>
        </w:rPr>
        <w:t>FOR</w:t>
      </w:r>
      <w:r>
        <w:rPr>
          <w:color w:val="C0504D"/>
          <w:spacing w:val="-3"/>
        </w:rPr>
        <w:t> </w:t>
      </w:r>
      <w:r>
        <w:rPr>
          <w:color w:val="C0504D"/>
        </w:rPr>
        <w:t>DIABETES</w:t>
      </w:r>
      <w:r>
        <w:rPr>
          <w:color w:val="C0504D"/>
          <w:spacing w:val="-5"/>
        </w:rPr>
        <w:t> </w:t>
      </w:r>
      <w:r>
        <w:rPr>
          <w:color w:val="C0504D"/>
        </w:rPr>
        <w:t>CARE</w:t>
      </w:r>
    </w:p>
    <w:p>
      <w:pPr>
        <w:pStyle w:val="BodyText"/>
        <w:spacing w:line="276" w:lineRule="auto" w:before="49"/>
        <w:ind w:left="1180" w:right="1118"/>
        <w:jc w:val="both"/>
      </w:pPr>
      <w:r>
        <w:rPr/>
        <w:t>Several</w:t>
      </w:r>
      <w:r>
        <w:rPr>
          <w:spacing w:val="-6"/>
        </w:rPr>
        <w:t> </w:t>
      </w:r>
      <w:r>
        <w:rPr/>
        <w:t>trends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shaping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RPM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diabetes</w:t>
      </w:r>
      <w:r>
        <w:rPr>
          <w:spacing w:val="-4"/>
        </w:rPr>
        <w:t> </w:t>
      </w:r>
      <w:r>
        <w:rPr/>
        <w:t>care,</w:t>
      </w:r>
      <w:r>
        <w:rPr>
          <w:spacing w:val="-4"/>
        </w:rPr>
        <w:t> </w:t>
      </w:r>
      <w:r>
        <w:rPr/>
        <w:t>driven</w:t>
      </w:r>
      <w:r>
        <w:rPr>
          <w:spacing w:val="-4"/>
        </w:rPr>
        <w:t> </w:t>
      </w:r>
      <w:r>
        <w:rPr/>
        <w:t>by</w:t>
      </w:r>
      <w:r>
        <w:rPr>
          <w:spacing w:val="-65"/>
        </w:rPr>
        <w:t> </w:t>
      </w:r>
      <w:r>
        <w:rPr/>
        <w:t>advances in wearable technology, artificial intelligence, and the integration of</w:t>
      </w:r>
      <w:r>
        <w:rPr>
          <w:spacing w:val="1"/>
        </w:rPr>
        <w:t> </w:t>
      </w:r>
      <w:r>
        <w:rPr/>
        <w:t>telehealth services. One of the most significant trends is the rise of continuous</w:t>
      </w:r>
      <w:r>
        <w:rPr>
          <w:spacing w:val="1"/>
        </w:rPr>
        <w:t> </w:t>
      </w:r>
      <w:r>
        <w:rPr/>
        <w:t>glucose monitoring (CGM) devices that provide patients and clinicians with 24/7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 blood</w:t>
      </w:r>
      <w:r>
        <w:rPr>
          <w:spacing w:val="1"/>
        </w:rPr>
        <w:t> </w:t>
      </w:r>
      <w:r>
        <w:rPr/>
        <w:t>sugar levels. Additionally,</w:t>
      </w:r>
      <w:r>
        <w:rPr>
          <w:spacing w:val="1"/>
        </w:rPr>
        <w:t> </w:t>
      </w:r>
      <w:r>
        <w:rPr/>
        <w:t>AI-powered analytics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utilized to deliver personalized recommendations, helping patients optimize their</w:t>
      </w:r>
      <w:r>
        <w:rPr>
          <w:spacing w:val="1"/>
        </w:rPr>
        <w:t> </w:t>
      </w:r>
      <w:r>
        <w:rPr/>
        <w:t>lifestyle choices. The combination of RPM and telehealth services also allows for</w:t>
      </w:r>
      <w:r>
        <w:rPr>
          <w:spacing w:val="1"/>
        </w:rPr>
        <w:t> </w:t>
      </w:r>
      <w:r>
        <w:rPr/>
        <w:t>a more comprehensive remote care experience, enhancing patient engagement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improving outcomes.</w:t>
      </w:r>
    </w:p>
    <w:p>
      <w:pPr>
        <w:pStyle w:val="Heading1"/>
        <w:spacing w:before="198"/>
      </w:pPr>
      <w:r>
        <w:rPr>
          <w:color w:val="C0504D"/>
        </w:rPr>
        <w:t>OPPORTUNITIES</w:t>
      </w:r>
      <w:r>
        <w:rPr>
          <w:color w:val="C0504D"/>
          <w:spacing w:val="-7"/>
        </w:rPr>
        <w:t> </w:t>
      </w:r>
      <w:r>
        <w:rPr>
          <w:color w:val="C0504D"/>
        </w:rPr>
        <w:t>FOR</w:t>
      </w:r>
      <w:r>
        <w:rPr>
          <w:color w:val="C0504D"/>
          <w:spacing w:val="-4"/>
        </w:rPr>
        <w:t> </w:t>
      </w:r>
      <w:r>
        <w:rPr>
          <w:color w:val="C0504D"/>
        </w:rPr>
        <w:t>COTIVITI</w:t>
      </w:r>
      <w:r>
        <w:rPr>
          <w:color w:val="C0504D"/>
          <w:spacing w:val="-3"/>
        </w:rPr>
        <w:t> </w:t>
      </w:r>
      <w:r>
        <w:rPr>
          <w:color w:val="C0504D"/>
        </w:rPr>
        <w:t>IN</w:t>
      </w:r>
      <w:r>
        <w:rPr>
          <w:color w:val="C0504D"/>
          <w:spacing w:val="-4"/>
        </w:rPr>
        <w:t> </w:t>
      </w:r>
      <w:r>
        <w:rPr>
          <w:color w:val="C0504D"/>
        </w:rPr>
        <w:t>RPM</w:t>
      </w:r>
      <w:r>
        <w:rPr>
          <w:color w:val="C0504D"/>
          <w:spacing w:val="-2"/>
        </w:rPr>
        <w:t> </w:t>
      </w:r>
      <w:r>
        <w:rPr>
          <w:color w:val="C0504D"/>
        </w:rPr>
        <w:t>FOR</w:t>
      </w:r>
      <w:r>
        <w:rPr>
          <w:color w:val="C0504D"/>
          <w:spacing w:val="-4"/>
        </w:rPr>
        <w:t> </w:t>
      </w:r>
      <w:r>
        <w:rPr>
          <w:color w:val="C0504D"/>
        </w:rPr>
        <w:t>DIABETES</w:t>
      </w:r>
    </w:p>
    <w:p>
      <w:pPr>
        <w:pStyle w:val="BodyText"/>
        <w:spacing w:line="276" w:lineRule="auto" w:before="52"/>
        <w:ind w:left="1180" w:right="1115"/>
        <w:jc w:val="both"/>
      </w:pPr>
      <w:r>
        <w:rPr/>
        <w:t>As a leader in data analytics, Cotiviti is well-positioned to capitalize on the RPM</w:t>
      </w:r>
      <w:r>
        <w:rPr>
          <w:spacing w:val="1"/>
        </w:rPr>
        <w:t> </w:t>
      </w:r>
      <w:r>
        <w:rPr/>
        <w:t>revolution.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vast</w:t>
      </w:r>
      <w:r>
        <w:rPr>
          <w:spacing w:val="1"/>
        </w:rPr>
        <w:t> </w:t>
      </w:r>
      <w:r>
        <w:rPr/>
        <w:t>amounts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RPM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opportunities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Cotiviti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enhance</w:t>
      </w:r>
      <w:r>
        <w:rPr>
          <w:spacing w:val="-7"/>
        </w:rPr>
        <w:t> </w:t>
      </w:r>
      <w:r>
        <w:rPr/>
        <w:t>its</w:t>
      </w:r>
      <w:r>
        <w:rPr>
          <w:spacing w:val="-9"/>
        </w:rPr>
        <w:t> </w:t>
      </w:r>
      <w:r>
        <w:rPr/>
        <w:t>predictive</w:t>
      </w:r>
      <w:r>
        <w:rPr>
          <w:spacing w:val="-9"/>
        </w:rPr>
        <w:t> </w:t>
      </w:r>
      <w:r>
        <w:rPr/>
        <w:t>analytics</w:t>
      </w:r>
      <w:r>
        <w:rPr>
          <w:spacing w:val="-7"/>
        </w:rPr>
        <w:t> </w:t>
      </w:r>
      <w:r>
        <w:rPr/>
        <w:t>offerings.</w:t>
      </w:r>
      <w:r>
        <w:rPr>
          <w:spacing w:val="-9"/>
        </w:rPr>
        <w:t> </w:t>
      </w:r>
      <w:r>
        <w:rPr/>
        <w:t>By</w:t>
      </w:r>
      <w:r>
        <w:rPr>
          <w:spacing w:val="-65"/>
        </w:rPr>
        <w:t> </w:t>
      </w:r>
      <w:r>
        <w:rPr/>
        <w:t>developing AI-driven risk prediction models, Cotiviti could identify at-risk patients</w:t>
      </w:r>
      <w:r>
        <w:rPr>
          <w:spacing w:val="1"/>
        </w:rPr>
        <w:t> </w:t>
      </w:r>
      <w:r>
        <w:rPr/>
        <w:t>earlier and enable healthcare providers to intervene proactively. Another strategic</w:t>
      </w:r>
      <w:r>
        <w:rPr>
          <w:spacing w:val="-65"/>
        </w:rPr>
        <w:t> </w:t>
      </w:r>
      <w:r>
        <w:rPr/>
        <w:t>opportunity lies in partnering with device manufacturers to integrate Cotiviti’s</w:t>
      </w:r>
      <w:r>
        <w:rPr>
          <w:spacing w:val="1"/>
        </w:rPr>
        <w:t> </w:t>
      </w:r>
      <w:r>
        <w:rPr/>
        <w:t>analytics platforms with popular CGM devices. Such partnerships would not only</w:t>
      </w:r>
      <w:r>
        <w:rPr>
          <w:spacing w:val="1"/>
        </w:rPr>
        <w:t> </w:t>
      </w:r>
      <w:r>
        <w:rPr/>
        <w:t>increase Cotiviti’s market presence but also create value by offering healthcare</w:t>
      </w:r>
      <w:r>
        <w:rPr>
          <w:spacing w:val="1"/>
        </w:rPr>
        <w:t> </w:t>
      </w:r>
      <w:r>
        <w:rPr/>
        <w:t>providers comprehensive solutions that combine cutting-edge technology with</w:t>
      </w:r>
      <w:r>
        <w:rPr>
          <w:spacing w:val="1"/>
        </w:rPr>
        <w:t> </w:t>
      </w:r>
      <w:r>
        <w:rPr/>
        <w:t>actionable</w:t>
      </w:r>
      <w:r>
        <w:rPr>
          <w:spacing w:val="-1"/>
        </w:rPr>
        <w:t> </w:t>
      </w:r>
      <w:r>
        <w:rPr/>
        <w:t>insights.</w:t>
      </w:r>
    </w:p>
    <w:p>
      <w:pPr>
        <w:pStyle w:val="Heading1"/>
        <w:spacing w:before="197"/>
      </w:pPr>
      <w:r>
        <w:rPr>
          <w:color w:val="C0504D"/>
        </w:rPr>
        <w:t>CHALLENGES</w:t>
      </w:r>
      <w:r>
        <w:rPr>
          <w:color w:val="C0504D"/>
          <w:spacing w:val="-5"/>
        </w:rPr>
        <w:t> </w:t>
      </w:r>
      <w:r>
        <w:rPr>
          <w:color w:val="C0504D"/>
        </w:rPr>
        <w:t>AND</w:t>
      </w:r>
      <w:r>
        <w:rPr>
          <w:color w:val="C0504D"/>
          <w:spacing w:val="-4"/>
        </w:rPr>
        <w:t> </w:t>
      </w:r>
      <w:r>
        <w:rPr>
          <w:color w:val="C0504D"/>
        </w:rPr>
        <w:t>THREATS</w:t>
      </w:r>
    </w:p>
    <w:p>
      <w:pPr>
        <w:pStyle w:val="BodyText"/>
        <w:spacing w:line="276" w:lineRule="auto" w:before="52"/>
        <w:ind w:left="1180" w:right="1120"/>
        <w:jc w:val="both"/>
      </w:pPr>
      <w:r>
        <w:rPr/>
        <w:t>Despite the promise of RPM, several challenges could impede its adoption and</w:t>
      </w:r>
      <w:r>
        <w:rPr>
          <w:spacing w:val="1"/>
        </w:rPr>
        <w:t> </w:t>
      </w:r>
      <w:r>
        <w:rPr/>
        <w:t>success.</w:t>
      </w:r>
      <w:r>
        <w:rPr>
          <w:spacing w:val="-13"/>
        </w:rPr>
        <w:t> </w:t>
      </w:r>
      <w:r>
        <w:rPr/>
        <w:t>One</w:t>
      </w:r>
      <w:r>
        <w:rPr>
          <w:spacing w:val="-16"/>
        </w:rPr>
        <w:t> </w:t>
      </w:r>
      <w:r>
        <w:rPr/>
        <w:t>major</w:t>
      </w:r>
      <w:r>
        <w:rPr>
          <w:spacing w:val="-14"/>
        </w:rPr>
        <w:t> </w:t>
      </w:r>
      <w:r>
        <w:rPr/>
        <w:t>concern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privacy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sensitive</w:t>
      </w:r>
      <w:r>
        <w:rPr>
          <w:spacing w:val="-13"/>
        </w:rPr>
        <w:t> </w:t>
      </w:r>
      <w:r>
        <w:rPr/>
        <w:t>health</w:t>
      </w:r>
      <w:r>
        <w:rPr>
          <w:spacing w:val="-13"/>
        </w:rPr>
        <w:t> </w:t>
      </w:r>
      <w:r>
        <w:rPr/>
        <w:t>data</w:t>
      </w:r>
      <w:r>
        <w:rPr>
          <w:spacing w:val="-64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devices.</w:t>
      </w:r>
      <w:r>
        <w:rPr>
          <w:spacing w:val="-2"/>
        </w:rPr>
        <w:t> </w:t>
      </w:r>
      <w:r>
        <w:rPr/>
        <w:t>Healthcare</w:t>
      </w:r>
      <w:r>
        <w:rPr>
          <w:spacing w:val="-4"/>
        </w:rPr>
        <w:t> </w:t>
      </w:r>
      <w:r>
        <w:rPr/>
        <w:t>providers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Cotiviti</w:t>
      </w:r>
      <w:r>
        <w:rPr>
          <w:spacing w:val="-1"/>
        </w:rPr>
        <w:t> </w:t>
      </w:r>
      <w:r>
        <w:rPr/>
        <w:t>must</w:t>
      </w:r>
      <w:r>
        <w:rPr>
          <w:spacing w:val="-65"/>
        </w:rPr>
        <w:t> </w:t>
      </w:r>
      <w:r>
        <w:rPr/>
        <w:t>ensure that they comply with strict data protection regulations such as HIPAA in</w:t>
      </w:r>
      <w:r>
        <w:rPr>
          <w:spacing w:val="1"/>
        </w:rPr>
        <w:t> </w:t>
      </w:r>
      <w:r>
        <w:rPr/>
        <w:t>the U.S. Another challenge is the interoperability of devices. Currently, different</w:t>
      </w:r>
      <w:r>
        <w:rPr>
          <w:spacing w:val="1"/>
        </w:rPr>
        <w:t> </w:t>
      </w:r>
      <w:r>
        <w:rPr/>
        <w:t>RPM systems often do not communicate seamlessly with one another, creating</w:t>
      </w:r>
      <w:r>
        <w:rPr>
          <w:spacing w:val="1"/>
        </w:rPr>
        <w:t> </w:t>
      </w:r>
      <w:r>
        <w:rPr/>
        <w:t>hurdles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data</w:t>
      </w:r>
      <w:r>
        <w:rPr>
          <w:spacing w:val="10"/>
        </w:rPr>
        <w:t> </w:t>
      </w:r>
      <w:r>
        <w:rPr/>
        <w:t>integration.</w:t>
      </w:r>
      <w:r>
        <w:rPr>
          <w:spacing w:val="13"/>
        </w:rPr>
        <w:t> </w:t>
      </w:r>
      <w:r>
        <w:rPr/>
        <w:t>Furthermore,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regulatory</w:t>
      </w:r>
      <w:r>
        <w:rPr>
          <w:spacing w:val="7"/>
        </w:rPr>
        <w:t> </w:t>
      </w:r>
      <w:r>
        <w:rPr/>
        <w:t>environment</w:t>
      </w:r>
      <w:r>
        <w:rPr>
          <w:spacing w:val="9"/>
        </w:rPr>
        <w:t> </w:t>
      </w:r>
      <w:r>
        <w:rPr/>
        <w:t>surrounding</w:t>
      </w:r>
    </w:p>
    <w:p>
      <w:pPr>
        <w:spacing w:after="0" w:line="276" w:lineRule="auto"/>
        <w:jc w:val="both"/>
        <w:sectPr>
          <w:headerReference w:type="default" r:id="rId7"/>
          <w:pgSz w:w="12240" w:h="15840"/>
          <w:pgMar w:header="719" w:footer="0" w:top="1340" w:bottom="280" w:left="620" w:right="680"/>
        </w:sectPr>
      </w:pPr>
    </w:p>
    <w:p>
      <w:pPr>
        <w:pStyle w:val="BodyText"/>
        <w:spacing w:line="276" w:lineRule="auto" w:before="83"/>
        <w:ind w:left="1180" w:right="1121"/>
        <w:jc w:val="both"/>
      </w:pPr>
      <w:r>
        <w:rPr/>
        <w:t>RPM</w:t>
      </w:r>
      <w:r>
        <w:rPr>
          <w:spacing w:val="-11"/>
        </w:rPr>
        <w:t> </w:t>
      </w:r>
      <w:r>
        <w:rPr/>
        <w:t>continues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evolve,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policy</w:t>
      </w:r>
      <w:r>
        <w:rPr>
          <w:spacing w:val="-9"/>
        </w:rPr>
        <w:t> </w:t>
      </w:r>
      <w:r>
        <w:rPr/>
        <w:t>could</w:t>
      </w:r>
      <w:r>
        <w:rPr>
          <w:spacing w:val="-11"/>
        </w:rPr>
        <w:t> </w:t>
      </w:r>
      <w:r>
        <w:rPr/>
        <w:t>affect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reimbursement</w:t>
      </w:r>
      <w:r>
        <w:rPr>
          <w:spacing w:val="-10"/>
        </w:rPr>
        <w:t> </w:t>
      </w:r>
      <w:r>
        <w:rPr/>
        <w:t>of</w:t>
      </w:r>
      <w:r>
        <w:rPr>
          <w:spacing w:val="-64"/>
        </w:rPr>
        <w:t> </w:t>
      </w:r>
      <w:r>
        <w:rPr/>
        <w:t>RPM</w:t>
      </w:r>
      <w:r>
        <w:rPr>
          <w:spacing w:val="-1"/>
        </w:rPr>
        <w:t> </w:t>
      </w:r>
      <w:r>
        <w:rPr/>
        <w:t>services, limiting</w:t>
      </w:r>
      <w:r>
        <w:rPr>
          <w:spacing w:val="-3"/>
        </w:rPr>
        <w:t> </w:t>
      </w:r>
      <w:r>
        <w:rPr/>
        <w:t>its widespread use.</w:t>
      </w:r>
    </w:p>
    <w:p>
      <w:pPr>
        <w:pStyle w:val="Heading1"/>
        <w:spacing w:before="199"/>
      </w:pPr>
      <w:r>
        <w:rPr>
          <w:color w:val="C0504D"/>
        </w:rPr>
        <w:t>CASE</w:t>
      </w:r>
      <w:r>
        <w:rPr>
          <w:color w:val="C0504D"/>
          <w:spacing w:val="-4"/>
        </w:rPr>
        <w:t> </w:t>
      </w:r>
      <w:r>
        <w:rPr>
          <w:color w:val="C0504D"/>
        </w:rPr>
        <w:t>STUDIES</w:t>
      </w:r>
      <w:r>
        <w:rPr>
          <w:color w:val="C0504D"/>
          <w:spacing w:val="-3"/>
        </w:rPr>
        <w:t> </w:t>
      </w:r>
      <w:r>
        <w:rPr>
          <w:color w:val="C0504D"/>
        </w:rPr>
        <w:t>IN</w:t>
      </w:r>
      <w:r>
        <w:rPr>
          <w:color w:val="C0504D"/>
          <w:spacing w:val="-3"/>
        </w:rPr>
        <w:t> </w:t>
      </w:r>
      <w:r>
        <w:rPr>
          <w:color w:val="C0504D"/>
        </w:rPr>
        <w:t>RPM</w:t>
      </w:r>
      <w:r>
        <w:rPr>
          <w:color w:val="C0504D"/>
          <w:spacing w:val="-3"/>
        </w:rPr>
        <w:t> </w:t>
      </w:r>
      <w:r>
        <w:rPr>
          <w:color w:val="C0504D"/>
        </w:rPr>
        <w:t>FOR</w:t>
      </w:r>
      <w:r>
        <w:rPr>
          <w:color w:val="C0504D"/>
          <w:spacing w:val="-2"/>
        </w:rPr>
        <w:t> </w:t>
      </w:r>
      <w:r>
        <w:rPr>
          <w:color w:val="C0504D"/>
        </w:rPr>
        <w:t>DIABETES</w:t>
      </w:r>
      <w:r>
        <w:rPr>
          <w:color w:val="C0504D"/>
          <w:spacing w:val="-4"/>
        </w:rPr>
        <w:t> </w:t>
      </w:r>
      <w:r>
        <w:rPr>
          <w:color w:val="C0504D"/>
        </w:rPr>
        <w:t>CARE</w:t>
      </w:r>
    </w:p>
    <w:p>
      <w:pPr>
        <w:spacing w:line="276" w:lineRule="auto" w:before="249"/>
        <w:ind w:left="1180" w:right="2195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C0504D"/>
          <w:sz w:val="28"/>
        </w:rPr>
        <w:t>CASE STUDY 1: DEXCOM AND CONTINUOUS GLUCOSE</w:t>
      </w:r>
      <w:r>
        <w:rPr>
          <w:rFonts w:ascii="Arial"/>
          <w:b/>
          <w:color w:val="C0504D"/>
          <w:spacing w:val="-75"/>
          <w:sz w:val="28"/>
        </w:rPr>
        <w:t> </w:t>
      </w:r>
      <w:r>
        <w:rPr>
          <w:rFonts w:ascii="Arial"/>
          <w:b/>
          <w:color w:val="C0504D"/>
          <w:sz w:val="28"/>
        </w:rPr>
        <w:t>MONITORING (CGM)</w:t>
      </w:r>
    </w:p>
    <w:p>
      <w:pPr>
        <w:pStyle w:val="BodyText"/>
        <w:spacing w:line="276" w:lineRule="auto"/>
        <w:ind w:left="1180" w:right="1117"/>
        <w:jc w:val="both"/>
      </w:pPr>
      <w:r>
        <w:rPr/>
        <w:t>Dexcom,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leader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glucose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(CGM)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>
          <w:spacing w:val="-1"/>
        </w:rPr>
        <w:t>transformed</w:t>
      </w:r>
      <w:r>
        <w:rPr>
          <w:spacing w:val="-16"/>
        </w:rPr>
        <w:t> </w:t>
      </w:r>
      <w:r>
        <w:rPr>
          <w:spacing w:val="-1"/>
        </w:rPr>
        <w:t>diabetes</w:t>
      </w:r>
      <w:r>
        <w:rPr>
          <w:spacing w:val="-16"/>
        </w:rPr>
        <w:t> </w:t>
      </w:r>
      <w:r>
        <w:rPr>
          <w:spacing w:val="-1"/>
        </w:rPr>
        <w:t>management</w:t>
      </w:r>
      <w:r>
        <w:rPr>
          <w:spacing w:val="-13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RPM.</w:t>
      </w:r>
      <w:r>
        <w:rPr>
          <w:spacing w:val="-13"/>
        </w:rPr>
        <w:t> </w:t>
      </w:r>
      <w:r>
        <w:rPr/>
        <w:t>Dexcom’s</w:t>
      </w:r>
      <w:r>
        <w:rPr>
          <w:spacing w:val="-15"/>
        </w:rPr>
        <w:t> </w:t>
      </w:r>
      <w:r>
        <w:rPr/>
        <w:t>CGM</w:t>
      </w:r>
      <w:r>
        <w:rPr>
          <w:spacing w:val="-17"/>
        </w:rPr>
        <w:t> </w:t>
      </w:r>
      <w:r>
        <w:rPr/>
        <w:t>devices</w:t>
      </w:r>
      <w:r>
        <w:rPr>
          <w:spacing w:val="-13"/>
        </w:rPr>
        <w:t> </w:t>
      </w:r>
      <w:r>
        <w:rPr/>
        <w:t>provide</w:t>
      </w:r>
      <w:r>
        <w:rPr>
          <w:spacing w:val="-64"/>
        </w:rPr>
        <w:t> </w:t>
      </w:r>
      <w:r>
        <w:rPr/>
        <w:t>real-time data on blood sugar levels, which patients and healthcare providers can</w:t>
      </w:r>
      <w:r>
        <w:rPr>
          <w:spacing w:val="-64"/>
        </w:rPr>
        <w:t> </w:t>
      </w:r>
      <w:r>
        <w:rPr/>
        <w:t>access via mobile apps. Studies have shown that patients using Dexcom's CGMs</w:t>
      </w:r>
      <w:r>
        <w:rPr>
          <w:spacing w:val="-64"/>
        </w:rPr>
        <w:t> </w:t>
      </w:r>
      <w:r>
        <w:rPr>
          <w:spacing w:val="-1"/>
        </w:rPr>
        <w:t>experience</w:t>
      </w:r>
      <w:r>
        <w:rPr>
          <w:spacing w:val="-16"/>
        </w:rPr>
        <w:t> </w:t>
      </w:r>
      <w:r>
        <w:rPr>
          <w:spacing w:val="-1"/>
        </w:rPr>
        <w:t>better</w:t>
      </w:r>
      <w:r>
        <w:rPr>
          <w:spacing w:val="-17"/>
        </w:rPr>
        <w:t> </w:t>
      </w:r>
      <w:r>
        <w:rPr>
          <w:spacing w:val="-1"/>
        </w:rPr>
        <w:t>glycemic</w:t>
      </w:r>
      <w:r>
        <w:rPr>
          <w:spacing w:val="-14"/>
        </w:rPr>
        <w:t> </w:t>
      </w:r>
      <w:r>
        <w:rPr/>
        <w:t>control,</w:t>
      </w:r>
      <w:r>
        <w:rPr>
          <w:spacing w:val="-17"/>
        </w:rPr>
        <w:t> </w:t>
      </w:r>
      <w:r>
        <w:rPr/>
        <w:t>fewer</w:t>
      </w:r>
      <w:r>
        <w:rPr>
          <w:spacing w:val="-16"/>
        </w:rPr>
        <w:t> </w:t>
      </w:r>
      <w:r>
        <w:rPr/>
        <w:t>episodes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hypoglycemia,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improved</w:t>
      </w:r>
      <w:r>
        <w:rPr>
          <w:spacing w:val="-64"/>
        </w:rPr>
        <w:t> </w:t>
      </w:r>
      <w:r>
        <w:rPr/>
        <w:t>quality of life. In partnership with telehealth providers, Dexcom has expanded its</w:t>
      </w:r>
      <w:r>
        <w:rPr>
          <w:spacing w:val="1"/>
        </w:rPr>
        <w:t> </w:t>
      </w:r>
      <w:r>
        <w:rPr/>
        <w:t>reach, offering remote monitoring that allows clinicians to adjust treatment plans</w:t>
      </w:r>
      <w:r>
        <w:rPr>
          <w:spacing w:val="1"/>
        </w:rPr>
        <w:t> </w:t>
      </w:r>
      <w:r>
        <w:rPr/>
        <w:t>without the need for in-person visits. This case exemplifies how integrating RPM</w:t>
      </w:r>
      <w:r>
        <w:rPr>
          <w:spacing w:val="1"/>
        </w:rPr>
        <w:t> </w:t>
      </w:r>
      <w:r>
        <w:rPr/>
        <w:t>into diabetes care can lead to significant improvements in patient outcomes and</w:t>
      </w:r>
      <w:r>
        <w:rPr>
          <w:spacing w:val="1"/>
        </w:rPr>
        <w:t> </w:t>
      </w:r>
      <w:r>
        <w:rPr/>
        <w:t>reduce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burden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healthcare systems.</w:t>
      </w:r>
    </w:p>
    <w:p>
      <w:pPr>
        <w:pStyle w:val="Heading1"/>
        <w:spacing w:before="200"/>
      </w:pPr>
      <w:r>
        <w:rPr>
          <w:color w:val="C0504D"/>
        </w:rPr>
        <w:t>CASE</w:t>
      </w:r>
      <w:r>
        <w:rPr>
          <w:color w:val="C0504D"/>
          <w:spacing w:val="-5"/>
        </w:rPr>
        <w:t> </w:t>
      </w:r>
      <w:r>
        <w:rPr>
          <w:color w:val="C0504D"/>
        </w:rPr>
        <w:t>STUDY</w:t>
      </w:r>
      <w:r>
        <w:rPr>
          <w:color w:val="C0504D"/>
          <w:spacing w:val="-4"/>
        </w:rPr>
        <w:t> </w:t>
      </w:r>
      <w:r>
        <w:rPr>
          <w:color w:val="C0504D"/>
        </w:rPr>
        <w:t>2:</w:t>
      </w:r>
      <w:r>
        <w:rPr>
          <w:color w:val="C0504D"/>
          <w:spacing w:val="-4"/>
        </w:rPr>
        <w:t> </w:t>
      </w:r>
      <w:r>
        <w:rPr>
          <w:color w:val="C0504D"/>
        </w:rPr>
        <w:t>LIVONGO’S</w:t>
      </w:r>
      <w:r>
        <w:rPr>
          <w:color w:val="C0504D"/>
          <w:spacing w:val="-4"/>
        </w:rPr>
        <w:t> </w:t>
      </w:r>
      <w:r>
        <w:rPr>
          <w:color w:val="C0504D"/>
        </w:rPr>
        <w:t>HOLISTIC</w:t>
      </w:r>
      <w:r>
        <w:rPr>
          <w:color w:val="C0504D"/>
          <w:spacing w:val="-3"/>
        </w:rPr>
        <w:t> </w:t>
      </w:r>
      <w:r>
        <w:rPr>
          <w:color w:val="C0504D"/>
        </w:rPr>
        <w:t>RPM</w:t>
      </w:r>
      <w:r>
        <w:rPr>
          <w:color w:val="C0504D"/>
          <w:spacing w:val="-2"/>
        </w:rPr>
        <w:t> </w:t>
      </w:r>
      <w:r>
        <w:rPr>
          <w:color w:val="C0504D"/>
        </w:rPr>
        <w:t>APPROACH</w:t>
      </w:r>
    </w:p>
    <w:p>
      <w:pPr>
        <w:pStyle w:val="BodyText"/>
        <w:spacing w:line="276" w:lineRule="auto" w:before="49"/>
        <w:ind w:left="1180" w:right="1115"/>
        <w:jc w:val="both"/>
      </w:pPr>
      <w:r>
        <w:rPr/>
        <w:t>Livongo, a digital health company specializing in chronic disease management,</w:t>
      </w:r>
      <w:r>
        <w:rPr>
          <w:spacing w:val="1"/>
        </w:rPr>
        <w:t> </w:t>
      </w:r>
      <w:r>
        <w:rPr/>
        <w:t>has successfully integrated RPM with behavioral coaching and AI-driven insights.</w:t>
      </w:r>
      <w:r>
        <w:rPr>
          <w:spacing w:val="-64"/>
        </w:rPr>
        <w:t> </w:t>
      </w:r>
      <w:r>
        <w:rPr/>
        <w:t>The company uses connected devices, such as smart glucose meters, to collect</w:t>
      </w:r>
      <w:r>
        <w:rPr>
          <w:spacing w:val="1"/>
        </w:rPr>
        <w:t> </w:t>
      </w:r>
      <w:r>
        <w:rPr/>
        <w:t>patient data, which is then analyzed in real-time. Through personalized coaching</w:t>
      </w:r>
      <w:r>
        <w:rPr>
          <w:spacing w:val="1"/>
        </w:rPr>
        <w:t> </w:t>
      </w:r>
      <w:r>
        <w:rPr/>
        <w:t>and data insights, Livongo helps patients with diabetes maintain healthy blood</w:t>
      </w:r>
      <w:r>
        <w:rPr>
          <w:spacing w:val="1"/>
        </w:rPr>
        <w:t> </w:t>
      </w:r>
      <w:r>
        <w:rPr/>
        <w:t>sugar levels. Livongo reports a 20% reduction in hypoglycemic events and a 24%</w:t>
      </w:r>
      <w:r>
        <w:rPr>
          <w:spacing w:val="-64"/>
        </w:rPr>
        <w:t> </w:t>
      </w:r>
      <w:r>
        <w:rPr/>
        <w:t>decrease in healthcare costs for enrolled patients. This case highlights the value</w:t>
      </w:r>
      <w:r>
        <w:rPr>
          <w:spacing w:val="1"/>
        </w:rPr>
        <w:t> </w:t>
      </w:r>
      <w:r>
        <w:rPr/>
        <w:t>of combining RPM with patient engagement and personalized care plans to drive</w:t>
      </w:r>
      <w:r>
        <w:rPr>
          <w:spacing w:val="1"/>
        </w:rPr>
        <w:t> </w:t>
      </w:r>
      <w:r>
        <w:rPr/>
        <w:t>better</w:t>
      </w:r>
      <w:r>
        <w:rPr>
          <w:spacing w:val="-1"/>
        </w:rPr>
        <w:t> </w:t>
      </w:r>
      <w:r>
        <w:rPr/>
        <w:t>health</w:t>
      </w:r>
      <w:r>
        <w:rPr>
          <w:spacing w:val="-2"/>
        </w:rPr>
        <w:t> </w:t>
      </w:r>
      <w:r>
        <w:rPr/>
        <w:t>outcomes.</w:t>
      </w:r>
    </w:p>
    <w:p>
      <w:pPr>
        <w:pStyle w:val="Heading1"/>
        <w:spacing w:before="198"/>
      </w:pPr>
      <w:r>
        <w:rPr>
          <w:color w:val="C0504D"/>
        </w:rPr>
        <w:t>STRATEGIC</w:t>
      </w:r>
      <w:r>
        <w:rPr>
          <w:color w:val="C0504D"/>
          <w:spacing w:val="-6"/>
        </w:rPr>
        <w:t> </w:t>
      </w:r>
      <w:r>
        <w:rPr>
          <w:color w:val="C0504D"/>
        </w:rPr>
        <w:t>RECOMMENDATIONS</w:t>
      </w:r>
      <w:r>
        <w:rPr>
          <w:color w:val="C0504D"/>
          <w:spacing w:val="-7"/>
        </w:rPr>
        <w:t> </w:t>
      </w:r>
      <w:r>
        <w:rPr>
          <w:color w:val="C0504D"/>
        </w:rPr>
        <w:t>FOR</w:t>
      </w:r>
      <w:r>
        <w:rPr>
          <w:color w:val="C0504D"/>
          <w:spacing w:val="-6"/>
        </w:rPr>
        <w:t> </w:t>
      </w:r>
      <w:r>
        <w:rPr>
          <w:color w:val="C0504D"/>
        </w:rPr>
        <w:t>COTIVITI</w:t>
      </w:r>
    </w:p>
    <w:p>
      <w:pPr>
        <w:pStyle w:val="BodyText"/>
        <w:spacing w:line="276" w:lineRule="auto" w:before="51"/>
        <w:ind w:left="1180" w:right="1113"/>
        <w:jc w:val="both"/>
      </w:pPr>
      <w:r>
        <w:rPr/>
        <w:t>To thrive in the RPM space, Cotiviti should prioritize several key strategies. First,</w:t>
      </w:r>
      <w:r>
        <w:rPr>
          <w:spacing w:val="1"/>
        </w:rPr>
        <w:t> </w:t>
      </w:r>
      <w:r>
        <w:rPr/>
        <w:t>investing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AI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technologies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enhance</w:t>
      </w:r>
      <w:r>
        <w:rPr>
          <w:spacing w:val="-8"/>
        </w:rPr>
        <w:t> </w:t>
      </w:r>
      <w:r>
        <w:rPr/>
        <w:t>Cotiviti's</w:t>
      </w:r>
      <w:r>
        <w:rPr>
          <w:spacing w:val="-9"/>
        </w:rPr>
        <w:t> </w:t>
      </w:r>
      <w:r>
        <w:rPr/>
        <w:t>predictive</w:t>
      </w:r>
      <w:r>
        <w:rPr>
          <w:spacing w:val="-64"/>
        </w:rPr>
        <w:t> </w:t>
      </w:r>
      <w:r>
        <w:rPr/>
        <w:t>analytics capabilities, allowing for better identification of high-risk patients. This</w:t>
      </w:r>
      <w:r>
        <w:rPr>
          <w:spacing w:val="1"/>
        </w:rPr>
        <w:t> </w:t>
      </w:r>
      <w:r>
        <w:rPr/>
        <w:t>investment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outcomes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differentiate</w:t>
      </w:r>
      <w:r>
        <w:rPr>
          <w:spacing w:val="-2"/>
        </w:rPr>
        <w:t> </w:t>
      </w:r>
      <w:r>
        <w:rPr/>
        <w:t>Cotiviti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competitors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healthcare</w:t>
      </w:r>
      <w:r>
        <w:rPr>
          <w:spacing w:val="-1"/>
        </w:rPr>
        <w:t> </w:t>
      </w:r>
      <w:r>
        <w:rPr/>
        <w:t>analytics</w:t>
      </w:r>
      <w:r>
        <w:rPr>
          <w:spacing w:val="-3"/>
        </w:rPr>
        <w:t> </w:t>
      </w:r>
      <w:r>
        <w:rPr/>
        <w:t>market.</w:t>
      </w:r>
    </w:p>
    <w:p>
      <w:pPr>
        <w:pStyle w:val="BodyText"/>
        <w:spacing w:line="276" w:lineRule="auto" w:before="200"/>
        <w:ind w:left="1180" w:right="1116"/>
        <w:jc w:val="both"/>
      </w:pPr>
      <w:r>
        <w:rPr/>
        <w:t>Second,</w:t>
      </w:r>
      <w:r>
        <w:rPr>
          <w:spacing w:val="1"/>
        </w:rPr>
        <w:t> </w:t>
      </w:r>
      <w:r>
        <w:rPr/>
        <w:t>Cotiviti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head-on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developing robust cybersecurity measures that safeguard patient information.</w:t>
      </w:r>
      <w:r>
        <w:rPr>
          <w:spacing w:val="1"/>
        </w:rPr>
        <w:t> </w:t>
      </w:r>
      <w:r>
        <w:rPr/>
        <w:t>Doing so will build trust among patients and healthcare providers, a critical factor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RPM's long-term</w:t>
      </w:r>
      <w:r>
        <w:rPr>
          <w:spacing w:val="1"/>
        </w:rPr>
        <w:t> </w:t>
      </w:r>
      <w:r>
        <w:rPr/>
        <w:t>success.</w:t>
      </w:r>
    </w:p>
    <w:p>
      <w:pPr>
        <w:spacing w:after="0" w:line="276" w:lineRule="auto"/>
        <w:jc w:val="both"/>
        <w:sectPr>
          <w:pgSz w:w="12240" w:h="15840"/>
          <w:pgMar w:header="719" w:footer="0" w:top="1340" w:bottom="280" w:left="620" w:right="680"/>
        </w:sectPr>
      </w:pPr>
    </w:p>
    <w:p>
      <w:pPr>
        <w:pStyle w:val="BodyText"/>
        <w:spacing w:line="276" w:lineRule="auto" w:before="83"/>
        <w:ind w:left="1180" w:right="1120"/>
        <w:jc w:val="both"/>
      </w:pPr>
      <w:r>
        <w:rPr/>
        <w:t>Third,</w:t>
      </w:r>
      <w:r>
        <w:rPr>
          <w:spacing w:val="1"/>
        </w:rPr>
        <w:t> </w:t>
      </w:r>
      <w:r>
        <w:rPr/>
        <w:t>Cotiviti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actively</w:t>
      </w:r>
      <w:r>
        <w:rPr>
          <w:spacing w:val="1"/>
        </w:rPr>
        <w:t> </w:t>
      </w:r>
      <w:r>
        <w:rPr/>
        <w:t>seek</w:t>
      </w:r>
      <w:r>
        <w:rPr>
          <w:spacing w:val="1"/>
        </w:rPr>
        <w:t> </w:t>
      </w:r>
      <w:r>
        <w:rPr/>
        <w:t>partnerships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RPM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manufacturers. These partnerships will enable Cotiviti to integrate its platforms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latest</w:t>
      </w:r>
      <w:r>
        <w:rPr>
          <w:spacing w:val="-12"/>
        </w:rPr>
        <w:t> </w:t>
      </w:r>
      <w:r>
        <w:rPr/>
        <w:t>wearable</w:t>
      </w:r>
      <w:r>
        <w:rPr>
          <w:spacing w:val="-13"/>
        </w:rPr>
        <w:t> </w:t>
      </w:r>
      <w:r>
        <w:rPr/>
        <w:t>technology,</w:t>
      </w:r>
      <w:r>
        <w:rPr>
          <w:spacing w:val="-16"/>
        </w:rPr>
        <w:t> </w:t>
      </w:r>
      <w:r>
        <w:rPr/>
        <w:t>providing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seamless</w:t>
      </w:r>
      <w:r>
        <w:rPr>
          <w:spacing w:val="-15"/>
        </w:rPr>
        <w:t> </w:t>
      </w:r>
      <w:r>
        <w:rPr/>
        <w:t>user</w:t>
      </w:r>
      <w:r>
        <w:rPr>
          <w:spacing w:val="-17"/>
        </w:rPr>
        <w:t> </w:t>
      </w:r>
      <w:r>
        <w:rPr/>
        <w:t>experience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both</w:t>
      </w:r>
      <w:r>
        <w:rPr>
          <w:spacing w:val="-64"/>
        </w:rPr>
        <w:t> </w:t>
      </w:r>
      <w:r>
        <w:rPr/>
        <w:t>healthcare</w:t>
      </w:r>
      <w:r>
        <w:rPr>
          <w:spacing w:val="-3"/>
        </w:rPr>
        <w:t> </w:t>
      </w:r>
      <w:r>
        <w:rPr/>
        <w:t>providers and patients.</w:t>
      </w:r>
    </w:p>
    <w:p>
      <w:pPr>
        <w:pStyle w:val="BodyText"/>
        <w:spacing w:line="276" w:lineRule="auto" w:before="199"/>
        <w:ind w:left="1180" w:right="1120"/>
        <w:jc w:val="both"/>
      </w:pPr>
      <w:r>
        <w:rPr/>
        <w:t>Finally,</w:t>
      </w:r>
      <w:r>
        <w:rPr>
          <w:spacing w:val="-7"/>
        </w:rPr>
        <w:t> </w:t>
      </w:r>
      <w:r>
        <w:rPr/>
        <w:t>Cotiviti</w:t>
      </w:r>
      <w:r>
        <w:rPr>
          <w:spacing w:val="-8"/>
        </w:rPr>
        <w:t> </w:t>
      </w:r>
      <w:r>
        <w:rPr/>
        <w:t>should</w:t>
      </w:r>
      <w:r>
        <w:rPr>
          <w:spacing w:val="-10"/>
        </w:rPr>
        <w:t> </w:t>
      </w:r>
      <w:r>
        <w:rPr/>
        <w:t>advocate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favorable</w:t>
      </w:r>
      <w:r>
        <w:rPr>
          <w:spacing w:val="-7"/>
        </w:rPr>
        <w:t> </w:t>
      </w:r>
      <w:r>
        <w:rPr/>
        <w:t>regulatory</w:t>
      </w:r>
      <w:r>
        <w:rPr>
          <w:spacing w:val="-8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by</w:t>
      </w:r>
      <w:r>
        <w:rPr>
          <w:spacing w:val="-7"/>
        </w:rPr>
        <w:t> </w:t>
      </w:r>
      <w:r>
        <w:rPr/>
        <w:t>working</w:t>
      </w:r>
      <w:r>
        <w:rPr>
          <w:spacing w:val="-65"/>
        </w:rPr>
        <w:t> </w:t>
      </w:r>
      <w:r>
        <w:rPr/>
        <w:t>with policymakers to establish clear guidelines around RPM. This advocacy will</w:t>
      </w:r>
      <w:r>
        <w:rPr>
          <w:spacing w:val="1"/>
        </w:rPr>
        <w:t> </w:t>
      </w:r>
      <w:r>
        <w:rPr>
          <w:spacing w:val="-1"/>
        </w:rPr>
        <w:t>help</w:t>
      </w:r>
      <w:r>
        <w:rPr>
          <w:spacing w:val="-16"/>
        </w:rPr>
        <w:t> </w:t>
      </w:r>
      <w:r>
        <w:rPr>
          <w:spacing w:val="-1"/>
        </w:rPr>
        <w:t>ensure</w:t>
      </w:r>
      <w:r>
        <w:rPr>
          <w:spacing w:val="-17"/>
        </w:rPr>
        <w:t> </w:t>
      </w:r>
      <w:r>
        <w:rPr>
          <w:spacing w:val="-1"/>
        </w:rPr>
        <w:t>that</w:t>
      </w:r>
      <w:r>
        <w:rPr>
          <w:spacing w:val="-16"/>
        </w:rPr>
        <w:t> </w:t>
      </w:r>
      <w:r>
        <w:rPr>
          <w:spacing w:val="-1"/>
        </w:rPr>
        <w:t>RPM</w:t>
      </w:r>
      <w:r>
        <w:rPr>
          <w:spacing w:val="-17"/>
        </w:rPr>
        <w:t> </w:t>
      </w:r>
      <w:r>
        <w:rPr>
          <w:spacing w:val="-1"/>
        </w:rPr>
        <w:t>continues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6"/>
        </w:rPr>
        <w:t> </w:t>
      </w:r>
      <w:r>
        <w:rPr/>
        <w:t>reimbursable</w:t>
      </w:r>
      <w:r>
        <w:rPr>
          <w:spacing w:val="-15"/>
        </w:rPr>
        <w:t> </w:t>
      </w:r>
      <w:r>
        <w:rPr/>
        <w:t>under</w:t>
      </w:r>
      <w:r>
        <w:rPr>
          <w:spacing w:val="-17"/>
        </w:rPr>
        <w:t> </w:t>
      </w:r>
      <w:r>
        <w:rPr/>
        <w:t>healthcare</w:t>
      </w:r>
      <w:r>
        <w:rPr>
          <w:spacing w:val="-19"/>
        </w:rPr>
        <w:t> </w:t>
      </w:r>
      <w:r>
        <w:rPr/>
        <w:t>plans,</w:t>
      </w:r>
      <w:r>
        <w:rPr>
          <w:spacing w:val="-16"/>
        </w:rPr>
        <w:t> </w:t>
      </w:r>
      <w:r>
        <w:rPr/>
        <w:t>driving</w:t>
      </w:r>
      <w:r>
        <w:rPr>
          <w:spacing w:val="-64"/>
        </w:rPr>
        <w:t> </w:t>
      </w:r>
      <w:r>
        <w:rPr/>
        <w:t>broader</w:t>
      </w:r>
      <w:r>
        <w:rPr>
          <w:spacing w:val="-1"/>
        </w:rPr>
        <w:t> </w:t>
      </w:r>
      <w:r>
        <w:rPr/>
        <w:t>adoption.</w:t>
      </w:r>
    </w:p>
    <w:p>
      <w:pPr>
        <w:pStyle w:val="Heading1"/>
        <w:spacing w:before="200"/>
      </w:pPr>
      <w:r>
        <w:rPr>
          <w:color w:val="C0504D"/>
        </w:rPr>
        <w:t>CONCLUSION</w:t>
      </w:r>
    </w:p>
    <w:p>
      <w:pPr>
        <w:pStyle w:val="BodyText"/>
        <w:spacing w:line="276" w:lineRule="auto" w:before="50"/>
        <w:ind w:left="1180" w:right="1118"/>
        <w:jc w:val="both"/>
      </w:pPr>
      <w:r>
        <w:rPr/>
        <w:t>Remote</w:t>
      </w:r>
      <w:r>
        <w:rPr>
          <w:spacing w:val="-6"/>
        </w:rPr>
        <w:t> </w:t>
      </w:r>
      <w:r>
        <w:rPr/>
        <w:t>Patient</w:t>
      </w:r>
      <w:r>
        <w:rPr>
          <w:spacing w:val="-6"/>
        </w:rPr>
        <w:t> </w:t>
      </w:r>
      <w:r>
        <w:rPr/>
        <w:t>Monitoring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major</w:t>
      </w:r>
      <w:r>
        <w:rPr>
          <w:spacing w:val="-9"/>
        </w:rPr>
        <w:t> </w:t>
      </w:r>
      <w:r>
        <w:rPr/>
        <w:t>step</w:t>
      </w:r>
      <w:r>
        <w:rPr>
          <w:spacing w:val="-6"/>
        </w:rPr>
        <w:t> </w:t>
      </w:r>
      <w:r>
        <w:rPr/>
        <w:t>forward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of</w:t>
      </w:r>
      <w:r>
        <w:rPr>
          <w:spacing w:val="-64"/>
        </w:rPr>
        <w:t> </w:t>
      </w:r>
      <w:r>
        <w:rPr/>
        <w:t>chronic conditions like diabetes. Cotiviti is well-positioned to lead in this space by</w:t>
      </w:r>
      <w:r>
        <w:rPr>
          <w:spacing w:val="-64"/>
        </w:rPr>
        <w:t> </w:t>
      </w:r>
      <w:r>
        <w:rPr/>
        <w:t>leveraging its expertise in data analytics and AI. By addressing the challenges of</w:t>
      </w:r>
      <w:r>
        <w:rPr>
          <w:spacing w:val="1"/>
        </w:rPr>
        <w:t> </w:t>
      </w:r>
      <w:r>
        <w:rPr/>
        <w:t>data security and interoperability, and by pursuing strategic partnerships, Cotiviti</w:t>
      </w:r>
      <w:r>
        <w:rPr>
          <w:spacing w:val="1"/>
        </w:rPr>
        <w:t> </w:t>
      </w:r>
      <w:r>
        <w:rPr/>
        <w:t>can play a pivotal role in transforming diabetes care. Through careful investment</w:t>
      </w:r>
      <w:r>
        <w:rPr>
          <w:spacing w:val="1"/>
        </w:rPr>
        <w:t> </w:t>
      </w:r>
      <w:r>
        <w:rPr/>
        <w:t>and advocacy, Cotiviti can ensure that RPM becomes a mainstream healthcare</w:t>
      </w:r>
      <w:r>
        <w:rPr>
          <w:spacing w:val="1"/>
        </w:rPr>
        <w:t> </w:t>
      </w:r>
      <w:r>
        <w:rPr/>
        <w:t>solution,</w:t>
      </w:r>
      <w:r>
        <w:rPr>
          <w:spacing w:val="-1"/>
        </w:rPr>
        <w:t> </w:t>
      </w:r>
      <w:r>
        <w:rPr/>
        <w:t>improving</w:t>
      </w:r>
      <w:r>
        <w:rPr>
          <w:spacing w:val="-2"/>
        </w:rPr>
        <w:t> </w:t>
      </w:r>
      <w:r>
        <w:rPr/>
        <w:t>outcomes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millions of patients.</w:t>
      </w:r>
    </w:p>
    <w:p>
      <w:pPr>
        <w:spacing w:after="0" w:line="276" w:lineRule="auto"/>
        <w:jc w:val="both"/>
        <w:sectPr>
          <w:pgSz w:w="12240" w:h="15840"/>
          <w:pgMar w:header="719" w:footer="0" w:top="1340" w:bottom="280" w:left="620" w:right="680"/>
        </w:sectPr>
      </w:pPr>
    </w:p>
    <w:p>
      <w:pPr>
        <w:pStyle w:val="Heading1"/>
      </w:pPr>
      <w:r>
        <w:rPr>
          <w:color w:val="C0504D"/>
        </w:rPr>
        <w:t>BIBLIOGRAPHY</w:t>
      </w:r>
    </w:p>
    <w:p>
      <w:pPr>
        <w:pStyle w:val="BodyText"/>
        <w:spacing w:line="278" w:lineRule="auto" w:before="49"/>
        <w:ind w:left="1180" w:right="1123"/>
        <w:jc w:val="both"/>
      </w:pPr>
      <w:r>
        <w:rPr/>
        <w:t>American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Association.</w:t>
      </w:r>
      <w:r>
        <w:rPr>
          <w:spacing w:val="1"/>
        </w:rPr>
        <w:t> </w:t>
      </w:r>
      <w:r>
        <w:rPr/>
        <w:t>'Statistics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Diabetes.'</w:t>
      </w:r>
      <w:r>
        <w:rPr>
          <w:spacing w:val="1"/>
        </w:rPr>
        <w:t> </w:t>
      </w:r>
      <w:r>
        <w:rPr/>
        <w:t>ADA,</w:t>
      </w:r>
      <w:r>
        <w:rPr>
          <w:spacing w:val="1"/>
        </w:rPr>
        <w:t> </w:t>
      </w:r>
      <w:r>
        <w:rPr/>
        <w:t>2022,</w:t>
      </w:r>
      <w:r>
        <w:rPr>
          <w:spacing w:val="1"/>
        </w:rPr>
        <w:t> </w:t>
      </w:r>
      <w:hyperlink r:id="rId8">
        <w:r>
          <w:rPr>
            <w:color w:val="0000FF"/>
            <w:u w:val="single" w:color="0000FF"/>
          </w:rPr>
          <w:t>https://www.diabetes.org/about-us/statistics</w:t>
        </w:r>
      </w:hyperlink>
      <w:r>
        <w:rPr/>
        <w:t>.</w:t>
      </w:r>
    </w:p>
    <w:p>
      <w:pPr>
        <w:pStyle w:val="BodyText"/>
        <w:spacing w:line="276" w:lineRule="auto" w:before="195"/>
        <w:ind w:left="1180" w:right="1116"/>
        <w:jc w:val="both"/>
      </w:pPr>
      <w:r>
        <w:rPr/>
        <w:t>Dexcom. 'Dexcom Continuous Glucose Monitoring - Discover Smart Diabetes</w:t>
      </w:r>
      <w:r>
        <w:rPr>
          <w:spacing w:val="1"/>
        </w:rPr>
        <w:t> </w:t>
      </w:r>
      <w:r>
        <w:rPr/>
        <w:t>Management.'</w:t>
      </w:r>
      <w:r>
        <w:rPr>
          <w:spacing w:val="-4"/>
        </w:rPr>
        <w:t> </w:t>
      </w:r>
      <w:r>
        <w:rPr/>
        <w:t>Dexcom,</w:t>
      </w:r>
      <w:r>
        <w:rPr>
          <w:spacing w:val="1"/>
        </w:rPr>
        <w:t> </w:t>
      </w:r>
      <w:hyperlink r:id="rId9">
        <w:r>
          <w:rPr>
            <w:color w:val="0000FF"/>
            <w:u w:val="single" w:color="0000FF"/>
          </w:rPr>
          <w:t>https://www.dexcom.com.</w:t>
        </w:r>
      </w:hyperlink>
    </w:p>
    <w:p>
      <w:pPr>
        <w:pStyle w:val="BodyText"/>
        <w:spacing w:line="276" w:lineRule="auto" w:before="201"/>
        <w:ind w:left="1180" w:right="1115"/>
        <w:jc w:val="both"/>
      </w:pPr>
      <w:r>
        <w:rPr/>
        <w:t>Livongo.</w:t>
      </w:r>
      <w:r>
        <w:rPr>
          <w:spacing w:val="1"/>
        </w:rPr>
        <w:t> </w:t>
      </w:r>
      <w:r>
        <w:rPr/>
        <w:t>'Transforming</w:t>
      </w:r>
      <w:r>
        <w:rPr>
          <w:spacing w:val="1"/>
        </w:rPr>
        <w:t> </w:t>
      </w:r>
      <w:r>
        <w:rPr/>
        <w:t>Chronic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RPM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AI-Driven</w:t>
      </w:r>
      <w:r>
        <w:rPr>
          <w:spacing w:val="1"/>
        </w:rPr>
        <w:t> </w:t>
      </w:r>
      <w:r>
        <w:rPr/>
        <w:t>Insights.'</w:t>
      </w:r>
      <w:r>
        <w:rPr>
          <w:spacing w:val="1"/>
        </w:rPr>
        <w:t> </w:t>
      </w:r>
      <w:r>
        <w:rPr/>
        <w:t>Livongo,</w:t>
      </w:r>
      <w:r>
        <w:rPr>
          <w:spacing w:val="-1"/>
        </w:rPr>
        <w:t> </w:t>
      </w:r>
      <w:r>
        <w:rPr/>
        <w:t>2022,</w:t>
      </w:r>
      <w:r>
        <w:rPr>
          <w:spacing w:val="2"/>
        </w:rPr>
        <w:t> </w:t>
      </w:r>
      <w:hyperlink r:id="rId10">
        <w:r>
          <w:rPr>
            <w:color w:val="0000FF"/>
            <w:u w:val="single" w:color="0000FF"/>
          </w:rPr>
          <w:t>https://www.livongo.com.</w:t>
        </w:r>
      </w:hyperlink>
    </w:p>
    <w:p>
      <w:pPr>
        <w:pStyle w:val="BodyText"/>
        <w:spacing w:line="276" w:lineRule="auto" w:before="200"/>
        <w:ind w:left="1180" w:right="1112"/>
        <w:jc w:val="both"/>
      </w:pPr>
      <w:r>
        <w:rPr/>
        <w:t>Centers for Disease Control and Prevention (CDC). 'National Diabetes Statistics</w:t>
      </w:r>
      <w:r>
        <w:rPr>
          <w:spacing w:val="1"/>
        </w:rPr>
        <w:t> </w:t>
      </w:r>
      <w:r>
        <w:rPr/>
        <w:t>Report,</w:t>
      </w:r>
      <w:r>
        <w:rPr>
          <w:spacing w:val="1"/>
        </w:rPr>
        <w:t> </w:t>
      </w:r>
      <w:r>
        <w:rPr/>
        <w:t>2022.'</w:t>
      </w:r>
      <w:r>
        <w:rPr>
          <w:spacing w:val="1"/>
        </w:rPr>
        <w:t> </w:t>
      </w:r>
      <w:r>
        <w:rPr/>
        <w:t>CDC,</w:t>
      </w:r>
      <w:r>
        <w:rPr>
          <w:spacing w:val="1"/>
        </w:rPr>
        <w:t> </w:t>
      </w:r>
      <w:hyperlink r:id="rId11">
        <w:r>
          <w:rPr>
            <w:color w:val="0000FF"/>
            <w:u w:val="single" w:color="0000FF"/>
          </w:rPr>
          <w:t>https://www.cdc.gov/diabetes/data/statistics-</w:t>
        </w:r>
      </w:hyperlink>
      <w:r>
        <w:rPr>
          <w:color w:val="0000FF"/>
          <w:spacing w:val="1"/>
        </w:rPr>
        <w:t> </w:t>
      </w:r>
      <w:hyperlink r:id="rId11">
        <w:r>
          <w:rPr>
            <w:color w:val="0000FF"/>
            <w:u w:val="single" w:color="0000FF"/>
          </w:rPr>
          <w:t>report/index.html.</w:t>
        </w:r>
      </w:hyperlink>
    </w:p>
    <w:p>
      <w:pPr>
        <w:pStyle w:val="BodyText"/>
        <w:spacing w:line="276" w:lineRule="auto" w:before="201"/>
        <w:ind w:left="1180" w:right="1120"/>
        <w:jc w:val="both"/>
      </w:pPr>
      <w:r>
        <w:rPr/>
        <w:t>Peters, Anne L., et al. 'Improved Outcomes with Continuous Glucose Monitoring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Patients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Type</w:t>
      </w:r>
      <w:r>
        <w:rPr>
          <w:spacing w:val="-7"/>
        </w:rPr>
        <w:t> </w:t>
      </w:r>
      <w:r>
        <w:rPr/>
        <w:t>2</w:t>
      </w:r>
      <w:r>
        <w:rPr>
          <w:spacing w:val="-8"/>
        </w:rPr>
        <w:t> </w:t>
      </w:r>
      <w:r>
        <w:rPr/>
        <w:t>Diabetes.'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England</w:t>
      </w:r>
      <w:r>
        <w:rPr>
          <w:spacing w:val="-5"/>
        </w:rPr>
        <w:t> </w:t>
      </w:r>
      <w:r>
        <w:rPr/>
        <w:t>Journal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Medicine,</w:t>
      </w:r>
      <w:r>
        <w:rPr>
          <w:spacing w:val="-5"/>
        </w:rPr>
        <w:t> </w:t>
      </w:r>
      <w:r>
        <w:rPr/>
        <w:t>vol.</w:t>
      </w:r>
      <w:r>
        <w:rPr>
          <w:spacing w:val="-9"/>
        </w:rPr>
        <w:t> </w:t>
      </w:r>
      <w:r>
        <w:rPr/>
        <w:t>381,</w:t>
      </w:r>
      <w:r>
        <w:rPr>
          <w:spacing w:val="-64"/>
        </w:rPr>
        <w:t> </w:t>
      </w:r>
      <w:r>
        <w:rPr/>
        <w:t>no.</w:t>
      </w:r>
      <w:r>
        <w:rPr>
          <w:spacing w:val="-3"/>
        </w:rPr>
        <w:t> </w:t>
      </w:r>
      <w:r>
        <w:rPr/>
        <w:t>16,</w:t>
      </w:r>
      <w:r>
        <w:rPr>
          <w:spacing w:val="-2"/>
        </w:rPr>
        <w:t> </w:t>
      </w:r>
      <w:r>
        <w:rPr/>
        <w:t>2021,</w:t>
      </w:r>
      <w:r>
        <w:rPr>
          <w:spacing w:val="-2"/>
        </w:rPr>
        <w:t> </w:t>
      </w:r>
      <w:r>
        <w:rPr/>
        <w:t>pp.</w:t>
      </w:r>
      <w:r>
        <w:rPr>
          <w:spacing w:val="-2"/>
        </w:rPr>
        <w:t> </w:t>
      </w:r>
      <w:r>
        <w:rPr/>
        <w:t>1519–1529.</w:t>
      </w:r>
    </w:p>
    <w:sectPr>
      <w:pgSz w:w="12240" w:h="15840"/>
      <w:pgMar w:header="719" w:footer="0" w:top="134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24002pt;margin-top:34.949844pt;width:241.85pt;height:14.95pt;mso-position-horizontal-relative:page;mso-position-vertical-relative:page;z-index:-157911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Remote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Patient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Monitoring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(RPM)</w:t>
                </w:r>
                <w:r>
                  <w:rPr>
                    <w:rFonts w:ascii="Cambria"/>
                    <w:spacing w:val="-4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In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Diabetes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Care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979980pt;margin-top:34.949844pt;width:8.15pt;height:14.95pt;mso-position-horizontal-relative:page;mso-position-vertical-relative:page;z-index:-157905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w w:val="100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34.949844pt;width:241.85pt;height:14.95pt;mso-position-horizontal-relative:page;mso-position-vertical-relative:page;z-index:-157900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Remote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Patient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Monitoring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(RPM)</w:t>
                </w:r>
                <w:r>
                  <w:rPr>
                    <w:rFonts w:ascii="Cambria"/>
                    <w:spacing w:val="-4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In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Diabetes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Care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979980pt;margin-top:34.949844pt;width:8.15pt;height:14.95pt;mso-position-horizontal-relative:page;mso-position-vertical-relative:page;z-index:-157895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w w:val="100"/>
                    <w:sz w:val="22"/>
                  </w:rPr>
                  <w:t>5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118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 w:right="204"/>
    </w:pPr>
    <w:rPr>
      <w:rFonts w:ascii="Arial MT" w:hAnsi="Arial MT" w:eastAsia="Arial MT" w:cs="Arial MT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hyperlink" Target="https://www.diabetes.org/about-us/statistics" TargetMode="External"/><Relationship Id="rId9" Type="http://schemas.openxmlformats.org/officeDocument/2006/relationships/hyperlink" Target="https://www.dexcom.com./" TargetMode="External"/><Relationship Id="rId10" Type="http://schemas.openxmlformats.org/officeDocument/2006/relationships/hyperlink" Target="https://www.livongo.com./" TargetMode="External"/><Relationship Id="rId11" Type="http://schemas.openxmlformats.org/officeDocument/2006/relationships/hyperlink" Target="https://www.cdc.gov/diabetes/data/statistics-report/index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 Kabeer</dc:creator>
  <dc:subject>OPPORTUNITIES, CHALLENGES, AND STRATEGIC RECOMMENDATIONS</dc:subject>
  <dc:title>Remote Patient Monitoring (RPM) in Diabetes Care:</dc:title>
  <dcterms:created xsi:type="dcterms:W3CDTF">2024-08-28T02:58:13Z</dcterms:created>
  <dcterms:modified xsi:type="dcterms:W3CDTF">2024-08-28T02:58:13Z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2024-08-28T00:00:00Z</vt:filetime>
  </property>
</Properties>
</file>