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aps/>
          <w:color w:val="6B7280"/>
          <w:sz w:val="18"/>
          <w:szCs w:val="18"/>
        </w:rPr>
        <w:t xml:space="preserve">SUPPLEMENTARY RESEARCH NOTE</w:t>
      </w:r>
    </w:p>
    <w:p>
      <w:pPr>
        <w:spacing w:after="120" w:before="0"/>
      </w:pPr>
      <w:r>
        <w:rPr>
          <w:rFonts w:ascii="Arial" w:cs="Arial" w:eastAsia="Arial" w:hAnsi="Arial"/>
          <w:b/>
          <w:bCs/>
          <w:color w:val="1A6B72"/>
          <w:sz w:val="40"/>
          <w:szCs w:val="40"/>
        </w:rPr>
        <w:t xml:space="preserve">NFHS Data Limitations &amp; IDRS Screening Tool</w:t>
      </w:r>
    </w:p>
    <w:p>
      <w:pPr>
        <w:spacing w:after="60" w:before="0"/>
      </w:pPr>
      <w:r>
        <w:rPr>
          <w:rFonts w:ascii="Arial" w:cs="Arial" w:eastAsia="Arial" w:hAnsi="Arial"/>
          <w:i/>
          <w:iCs/>
          <w:color w:val="6B7280"/>
          <w:sz w:val="22"/>
          <w:szCs w:val="22"/>
        </w:rPr>
        <w:t xml:space="preserve">Undiagnosed Diabetes in India — Problem Statement 2</w:t>
      </w:r>
    </w:p>
    <w:p>
      <w:pPr>
        <w:spacing w:after="0" w:before="0"/>
      </w:pPr>
      <w:r>
        <w:rPr>
          <w:rFonts w:ascii="Arial" w:cs="Arial" w:eastAsia="Arial" w:hAnsi="Arial"/>
          <w:color w:val="6B7280"/>
          <w:sz w:val="20"/>
          <w:szCs w:val="20"/>
        </w:rPr>
        <w:t xml:space="preserve">Prepared for: Yogi's Project  |  Date: May 2026</w:t>
      </w:r>
    </w:p>
    <w:p>
      <w:pPr>
        <w:pBdr>
          <w:bottom w:val="single" w:color="B2D8DB" w:sz="6" w:space="1"/>
        </w:pBdr>
        <w:spacing w:after="160" w:before="160"/>
      </w:pPr>
      <w:r>
        <w:t xml:space="preserve"/>
      </w:r>
    </w:p>
    <w:p>
      <w:pPr>
        <w:pStyle w:val="Heading1"/>
        <w:spacing w:after="160" w:before="320"/>
      </w:pPr>
      <w:r>
        <w:rPr>
          <w:rFonts w:ascii="Arial" w:cs="Arial" w:eastAsia="Arial" w:hAnsi="Arial"/>
          <w:b/>
          <w:bCs/>
          <w:color w:val="1A6B72"/>
          <w:sz w:val="28"/>
          <w:szCs w:val="28"/>
        </w:rPr>
        <w:t xml:space="preserve">1. NFHS Data: Coverage &amp; Limitations</w:t>
      </w:r>
    </w:p>
    <w:p>
      <w:pPr>
        <w:spacing w:after="80" w:before="80"/>
      </w:pPr>
      <w:r>
        <w:rPr>
          <w:rFonts w:ascii="Arial" w:cs="Arial" w:eastAsia="Arial" w:hAnsi="Arial"/>
          <w:color w:val="1F2937"/>
          <w:sz w:val="22"/>
          <w:szCs w:val="22"/>
        </w:rPr>
        <w:t xml:space="preserve">The National Family Health Survey (NFHS) is India's primary household-level health survey. It is conducted every 5 years by the Ministry of Health and Family Welfare and provides state-level and national-level data on key health indicators.</w:t>
      </w:r>
    </w:p>
    <w:p>
      <w:pPr>
        <w:spacing w:after="0" w:before="0"/>
      </w:pPr>
      <w:r>
        <w:t xml:space="preserve"/>
      </w:r>
    </w:p>
    <w:p>
      <w:pPr>
        <w:pStyle w:val="Heading2"/>
        <w:spacing w:after="120" w:before="240"/>
      </w:pPr>
      <w:r>
        <w:rPr>
          <w:rFonts w:ascii="Arial" w:cs="Arial" w:eastAsia="Arial" w:hAnsi="Arial"/>
          <w:b/>
          <w:bCs/>
          <w:color w:val="1F2937"/>
          <w:sz w:val="24"/>
          <w:szCs w:val="24"/>
        </w:rPr>
        <w:t xml:space="preserve">1.1 Survey Timeline</w:t>
      </w:r>
    </w:p>
    <w:p>
      <w:pP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Round</w:t>
            </w:r>
          </w:p>
        </w:tc>
        <w:tc>
          <w:tcPr>
            <w:tcW w:type="dxa" w:w="220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Period</w:t>
            </w:r>
          </w:p>
        </w:tc>
        <w:tc>
          <w:tcPr>
            <w:tcW w:type="dxa" w:w="240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Published</w:t>
            </w:r>
          </w:p>
        </w:tc>
        <w:tc>
          <w:tcPr>
            <w:tcW w:type="dxa" w:w="296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Diabetes-Relevant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NFHS-3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2005–06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2007</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Overweight/obesity by gender, blood pressure</w:t>
            </w:r>
          </w:p>
        </w:tc>
      </w:tr>
      <w:tr>
        <w:tc>
          <w:tcPr>
            <w:tcW w:type="dxa" w:w="18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NFHS-4</w:t>
            </w:r>
          </w:p>
        </w:tc>
        <w:tc>
          <w:tcPr>
            <w:tcW w:type="dxa" w:w="22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2015–16</w:t>
            </w:r>
          </w:p>
        </w:tc>
        <w:tc>
          <w:tcPr>
            <w:tcW w:type="dxa" w:w="24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2016</w:t>
            </w:r>
          </w:p>
        </w:tc>
        <w:tc>
          <w:tcPr>
            <w:tcW w:type="dxa" w:w="296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Overweight, high blood sugar (proxy), state-level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NFHS-5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2019–21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2021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High blood sugar, BMI, waist, urban/rural split — MOST RECENT</w:t>
            </w:r>
          </w:p>
        </w:tc>
      </w:tr>
      <w:tr>
        <w:tc>
          <w:tcPr>
            <w:tcW w:type="dxa" w:w="18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NFHS-6</w:t>
            </w:r>
          </w:p>
        </w:tc>
        <w:tc>
          <w:tcPr>
            <w:tcW w:type="dxa" w:w="22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~2026–27</w:t>
            </w:r>
          </w:p>
        </w:tc>
        <w:tc>
          <w:tcPr>
            <w:tcW w:type="dxa" w:w="24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~2028</w:t>
            </w:r>
          </w:p>
        </w:tc>
        <w:tc>
          <w:tcPr>
            <w:tcW w:type="dxa" w:w="296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NOT YET AVAILABLE — post-COVID data will appear here</w:t>
            </w:r>
          </w:p>
        </w:tc>
      </w:tr>
    </w:tbl>
    <w:p>
      <w:pPr>
        <w:spacing w:after="0" w:before="0"/>
      </w:pPr>
      <w:r>
        <w:t xml:space="preserve"/>
      </w:r>
    </w:p>
    <w:p>
      <w:pPr>
        <w:pStyle w:val="Heading2"/>
        <w:spacing w:after="120" w:before="240"/>
      </w:pPr>
      <w:r>
        <w:rPr>
          <w:rFonts w:ascii="Arial" w:cs="Arial" w:eastAsia="Arial" w:hAnsi="Arial"/>
          <w:b/>
          <w:bCs/>
          <w:color w:val="1F2937"/>
          <w:sz w:val="24"/>
          <w:szCs w:val="24"/>
        </w:rPr>
        <w:t xml:space="preserve">1.2 Why Post-COVID Diabetes Data is Unavailable</w:t>
      </w:r>
    </w:p>
    <w:p>
      <w:pPr>
        <w:spacing w:after="80" w:before="80"/>
      </w:pPr>
      <w:r>
        <w:rPr>
          <w:rFonts w:ascii="Arial" w:cs="Arial" w:eastAsia="Arial" w:hAnsi="Arial"/>
          <w:color w:val="1F2937"/>
          <w:sz w:val="22"/>
          <w:szCs w:val="22"/>
        </w:rPr>
        <w:t xml:space="preserve">The COVID-19 pandemic occurred between NFHS-5 (2019-21) and the expected window for NFHS-6. As a result:</w:t>
      </w:r>
    </w:p>
    <w:p>
      <w:pPr>
        <w:pStyle w:val="ListParagraph"/>
        <w:numPr>
          <w:ilvl w:val="0"/>
          <w:numId w:val="2"/>
        </w:numPr>
        <w:spacing w:after="60" w:before="60"/>
      </w:pPr>
      <w:r>
        <w:rPr>
          <w:rFonts w:ascii="Arial" w:cs="Arial" w:eastAsia="Arial" w:hAnsi="Arial"/>
          <w:color w:val="1F2937"/>
          <w:sz w:val="22"/>
          <w:szCs w:val="22"/>
        </w:rPr>
        <w:t xml:space="preserve">No national survey-level data exists on post-COVID diabetes prevalence, waist circumference trends, or physical activity changes.</w:t>
      </w:r>
    </w:p>
    <w:p>
      <w:pPr>
        <w:pStyle w:val="ListParagraph"/>
        <w:numPr>
          <w:ilvl w:val="0"/>
          <w:numId w:val="2"/>
        </w:numPr>
        <w:spacing w:after="60" w:before="60"/>
      </w:pPr>
      <w:r>
        <w:rPr>
          <w:rFonts w:ascii="Arial" w:cs="Arial" w:eastAsia="Arial" w:hAnsi="Arial"/>
          <w:color w:val="1F2937"/>
          <w:sz w:val="22"/>
          <w:szCs w:val="22"/>
        </w:rPr>
        <w:t xml:space="preserve">NFHS-5 data (2019-21) partially overlaps with the early COVID period but does not capture post-lockdown metabolic changes.</w:t>
      </w:r>
    </w:p>
    <w:p>
      <w:pPr>
        <w:pStyle w:val="ListParagraph"/>
        <w:numPr>
          <w:ilvl w:val="0"/>
          <w:numId w:val="2"/>
        </w:numPr>
        <w:spacing w:after="60" w:before="60"/>
      </w:pPr>
      <w:r>
        <w:rPr>
          <w:rFonts w:ascii="Arial" w:cs="Arial" w:eastAsia="Arial" w:hAnsi="Arial"/>
          <w:color w:val="1F2937"/>
          <w:sz w:val="22"/>
          <w:szCs w:val="22"/>
        </w:rPr>
        <w:t xml:space="preserve">NFHS-6 is expected around 2026-27, with published results likely by 2028.</w:t>
      </w:r>
    </w:p>
    <w:p>
      <w:pPr>
        <w:pStyle w:val="ListParagraph"/>
        <w:numPr>
          <w:ilvl w:val="0"/>
          <w:numId w:val="2"/>
        </w:numPr>
        <w:spacing w:after="80" w:before="60"/>
      </w:pPr>
      <w:r>
        <w:rPr>
          <w:rFonts w:ascii="Arial" w:cs="Arial" w:eastAsia="Arial" w:hAnsi="Arial"/>
          <w:color w:val="1F2937"/>
          <w:sz w:val="22"/>
          <w:szCs w:val="22"/>
        </w:rPr>
        <w:t xml:space="preserve">IDF Diabetes Atlas 2023 (national-level projection of 101 million diabetics) is used as the most current available estimate for this project.</w:t>
      </w:r>
    </w:p>
    <w:p>
      <w:pPr>
        <w:spacing w:after="80" w:before="80"/>
        <w:ind w:left="360"/>
      </w:pPr>
      <w:r>
        <w:rPr>
          <w:rFonts w:ascii="Arial" w:cs="Arial" w:eastAsia="Arial" w:hAnsi="Arial"/>
          <w:i/>
          <w:iCs/>
          <w:color w:val="6B7280"/>
          <w:sz w:val="20"/>
          <w:szCs w:val="20"/>
        </w:rPr>
        <w:t xml:space="preserve">📌 This limitation is inherent to the data landscape — not a gap in research effort. The project clearly documents this and uses the best available alternatives.</w:t>
      </w:r>
    </w:p>
    <w:p>
      <w:pPr>
        <w:pBdr>
          <w:bottom w:val="single" w:color="B2D8DB" w:sz="6" w:space="1"/>
        </w:pBdr>
        <w:spacing w:after="160" w:before="160"/>
      </w:pPr>
      <w:r>
        <w:t xml:space="preserve"/>
      </w:r>
    </w:p>
    <w:p>
      <w:pPr>
        <w:pStyle w:val="Heading1"/>
        <w:spacing w:after="160" w:before="320"/>
      </w:pPr>
      <w:r>
        <w:rPr>
          <w:rFonts w:ascii="Arial" w:cs="Arial" w:eastAsia="Arial" w:hAnsi="Arial"/>
          <w:b/>
          <w:bCs/>
          <w:color w:val="1A6B72"/>
          <w:sz w:val="28"/>
          <w:szCs w:val="28"/>
        </w:rPr>
        <w:t xml:space="preserve">2. NFHS-5 Key Indicators (Diabetes-Relevant Parameters)</w:t>
      </w:r>
    </w:p>
    <w:p>
      <w:pPr>
        <w:spacing w:after="80" w:before="80"/>
      </w:pPr>
      <w:r>
        <w:rPr>
          <w:rFonts w:ascii="Arial" w:cs="Arial" w:eastAsia="Arial" w:hAnsi="Arial"/>
          <w:color w:val="1F2937"/>
          <w:sz w:val="22"/>
          <w:szCs w:val="22"/>
        </w:rPr>
        <w:t xml:space="preserve">NFHS-5 (2019-21) is the most recent nationally representative data source with state-level breakdowns. The following table summarises diabetes-relevant indicators from the survey.</w:t>
      </w:r>
    </w:p>
    <w:p>
      <w:pPr>
        <w:spacing w:after="0" w:before="0"/>
      </w:pPr>
      <w:r>
        <w:t xml:space="preserve"/>
      </w:r>
    </w:p>
    <w:p>
      <w:pPr>
        <w:pStyle w:val="Heading2"/>
        <w:spacing w:after="120" w:before="240"/>
      </w:pPr>
      <w:r>
        <w:rPr>
          <w:rFonts w:ascii="Arial" w:cs="Arial" w:eastAsia="Arial" w:hAnsi="Arial"/>
          <w:b/>
          <w:bCs/>
          <w:color w:val="1F2937"/>
          <w:sz w:val="24"/>
          <w:szCs w:val="24"/>
        </w:rPr>
        <w:t xml:space="preserve">2.1 Overweight, Obesity &amp; Blood Sugar — National Overview</w:t>
      </w:r>
    </w:p>
    <w:p>
      <w:pP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tblHeader/>
        </w:trPr>
        <w:tc>
          <w:tcPr>
            <w:tcW w:type="dxa" w:w="320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Indicator (NFHS-5, 2019-21)</w:t>
            </w:r>
          </w:p>
        </w:tc>
        <w:tc>
          <w:tcPr>
            <w:tcW w:type="dxa" w:w="208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Women</w:t>
            </w:r>
          </w:p>
        </w:tc>
        <w:tc>
          <w:tcPr>
            <w:tcW w:type="dxa" w:w="208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Men</w:t>
            </w:r>
          </w:p>
        </w:tc>
        <w:tc>
          <w:tcPr>
            <w:tcW w:type="dxa" w:w="200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Overweight / Obese (BMI ≥ 25)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24.0%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22.9%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National average</w:t>
            </w:r>
          </w:p>
        </w:tc>
      </w:tr>
      <w:tr>
        <w:tc>
          <w:tcPr>
            <w:tcW w:type="dxa" w:w="32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Obese (BMI ≥ 30)</w:t>
            </w:r>
          </w:p>
        </w:tc>
        <w:tc>
          <w:tcPr>
            <w:tcW w:type="dxa" w:w="208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5.5%</w:t>
            </w:r>
          </w:p>
        </w:tc>
        <w:tc>
          <w:tcPr>
            <w:tcW w:type="dxa" w:w="208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4.0%</w:t>
            </w:r>
          </w:p>
        </w:tc>
        <w:tc>
          <w:tcPr>
            <w:tcW w:type="dxa" w:w="20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National average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High blood sugar (&gt; 140 mg/dL)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13.8%</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16.0%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Proxy for diabetes risk</w:t>
            </w:r>
          </w:p>
        </w:tc>
      </w:tr>
      <w:tr>
        <w:tc>
          <w:tcPr>
            <w:tcW w:type="dxa" w:w="32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High blood sugar — Urban</w:t>
            </w:r>
          </w:p>
        </w:tc>
        <w:tc>
          <w:tcPr>
            <w:tcW w:type="dxa" w:w="208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~17%</w:t>
            </w:r>
          </w:p>
        </w:tc>
        <w:tc>
          <w:tcPr>
            <w:tcW w:type="dxa" w:w="208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~19%</w:t>
            </w:r>
          </w:p>
        </w:tc>
        <w:tc>
          <w:tcPr>
            <w:tcW w:type="dxa" w:w="20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Urban burden higher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High blood sugar — Rural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~11%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Rural underdiagnosis likely</w:t>
            </w:r>
          </w:p>
        </w:tc>
      </w:tr>
      <w:tr>
        <w:tc>
          <w:tcPr>
            <w:tcW w:type="dxa" w:w="32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Southern states (e.g. Kerala, TN)</w:t>
            </w:r>
          </w:p>
        </w:tc>
        <w:tc>
          <w:tcPr>
            <w:tcW w:type="dxa" w:w="208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~22–28%</w:t>
            </w:r>
          </w:p>
        </w:tc>
        <w:tc>
          <w:tcPr>
            <w:tcW w:type="dxa" w:w="208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~24–30%</w:t>
            </w:r>
          </w:p>
        </w:tc>
        <w:tc>
          <w:tcPr>
            <w:tcW w:type="dxa" w:w="20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Highest prevalence belt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Central/Eastern states (e.g. UP, Bihar)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~8–11%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~9–13%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Lower but rapidly rising</w:t>
            </w:r>
          </w:p>
        </w:tc>
      </w:tr>
    </w:tbl>
    <w:p>
      <w:pPr>
        <w:spacing w:after="80" w:before="80"/>
        <w:ind w:left="360"/>
      </w:pPr>
      <w:r>
        <w:rPr>
          <w:rFonts w:ascii="Arial" w:cs="Arial" w:eastAsia="Arial" w:hAnsi="Arial"/>
          <w:i/>
          <w:iCs/>
          <w:color w:val="6B7280"/>
          <w:sz w:val="20"/>
          <w:szCs w:val="20"/>
        </w:rPr>
        <w:t xml:space="preserve">📌 NFHS measures 'high blood sugar' as random blood glucose &gt; 140 mg/dL — this is a proxy indicator, not a clinical diabetes diagnosis. Actual diagnosed diabetes prevalence is lower; actual total burden (diagnosed + undiagnosed) is higher.</w:t>
      </w:r>
    </w:p>
    <w:p>
      <w:pPr>
        <w:spacing w:after="0" w:before="0"/>
      </w:pPr>
      <w:r>
        <w:t xml:space="preserve"/>
      </w:r>
    </w:p>
    <w:p>
      <w:pPr>
        <w:pStyle w:val="Heading2"/>
        <w:spacing w:after="120" w:before="240"/>
      </w:pPr>
      <w:r>
        <w:rPr>
          <w:rFonts w:ascii="Arial" w:cs="Arial" w:eastAsia="Arial" w:hAnsi="Arial"/>
          <w:b/>
          <w:bCs/>
          <w:color w:val="1F2937"/>
          <w:sz w:val="24"/>
          <w:szCs w:val="24"/>
        </w:rPr>
        <w:t xml:space="preserve">2.2 Key NFHS-5 Observations for This Project</w:t>
      </w:r>
    </w:p>
    <w:p>
      <w:pPr>
        <w:pStyle w:val="ListParagraph"/>
        <w:numPr>
          <w:ilvl w:val="0"/>
          <w:numId w:val="2"/>
        </w:numPr>
        <w:spacing w:after="60" w:before="60"/>
      </w:pPr>
      <w:r>
        <w:rPr>
          <w:rFonts w:ascii="Arial" w:cs="Arial" w:eastAsia="Arial" w:hAnsi="Arial"/>
          <w:color w:val="1F2937"/>
          <w:sz w:val="22"/>
          <w:szCs w:val="22"/>
        </w:rPr>
        <w:t xml:space="preserve">Urban-rural gap: Urban populations show consistently higher blood sugar burden, but rural populations have far lower rates of diagnosis — making undiagnosed diabetes a specifically rural crisis.</w:t>
      </w:r>
    </w:p>
    <w:p>
      <w:pPr>
        <w:pStyle w:val="ListParagraph"/>
        <w:numPr>
          <w:ilvl w:val="0"/>
          <w:numId w:val="2"/>
        </w:numPr>
        <w:spacing w:after="60" w:before="60"/>
      </w:pPr>
      <w:r>
        <w:rPr>
          <w:rFonts w:ascii="Arial" w:cs="Arial" w:eastAsia="Arial" w:hAnsi="Arial"/>
          <w:color w:val="1F2937"/>
          <w:sz w:val="22"/>
          <w:szCs w:val="22"/>
        </w:rPr>
        <w:t xml:space="preserve">Gender pattern: Men show slightly higher high blood sugar rates, but women show faster increase in obesity — particularly relevant for waist circumference-based screening like IDRS.</w:t>
      </w:r>
    </w:p>
    <w:p>
      <w:pPr>
        <w:pStyle w:val="ListParagraph"/>
        <w:numPr>
          <w:ilvl w:val="0"/>
          <w:numId w:val="2"/>
        </w:numPr>
        <w:spacing w:after="80" w:before="60"/>
      </w:pPr>
      <w:r>
        <w:rPr>
          <w:rFonts w:ascii="Arial" w:cs="Arial" w:eastAsia="Arial" w:hAnsi="Arial"/>
          <w:color w:val="1F2937"/>
          <w:sz w:val="22"/>
          <w:szCs w:val="22"/>
        </w:rPr>
        <w:t xml:space="preserve">Geographic concentration: Southern and western states (Kerala, Tamil Nadu, Goa, Andhra Pradesh) show the highest burden. Central and eastern states show lower prevalence but are rising rapidly.</w:t>
      </w:r>
    </w:p>
    <w:p>
      <w:pPr>
        <w:pBdr>
          <w:bottom w:val="single" w:color="B2D8DB" w:sz="6" w:space="1"/>
        </w:pBdr>
        <w:spacing w:after="160" w:before="160"/>
      </w:pPr>
      <w:r>
        <w:t xml:space="preserve"/>
      </w:r>
    </w:p>
    <w:p>
      <w:pPr>
        <w:pStyle w:val="Heading1"/>
        <w:spacing w:after="160" w:before="320"/>
      </w:pPr>
      <w:r>
        <w:rPr>
          <w:rFonts w:ascii="Arial" w:cs="Arial" w:eastAsia="Arial" w:hAnsi="Arial"/>
          <w:b/>
          <w:bCs/>
          <w:color w:val="1A6B72"/>
          <w:sz w:val="28"/>
          <w:szCs w:val="28"/>
        </w:rPr>
        <w:t xml:space="preserve">3. IDRS Screening Tool: Structure &amp; Scoring</w:t>
      </w:r>
    </w:p>
    <w:p>
      <w:pPr>
        <w:spacing w:after="80" w:before="80"/>
      </w:pPr>
      <w:r>
        <w:rPr>
          <w:rFonts w:ascii="Arial" w:cs="Arial" w:eastAsia="Arial" w:hAnsi="Arial"/>
          <w:color w:val="1F2937"/>
          <w:sz w:val="22"/>
          <w:szCs w:val="22"/>
        </w:rPr>
        <w:t xml:space="preserve">The Indian Diabetes Risk Score (IDRS) was developed by the Madras Diabetes Research Foundation (MDRF) at Chennai. It uses four simple, no-cost parameters to identify undiagnosed Type 2 diabetes in community settings. It was specifically designed for large-scale use in a diverse, resource-limited population like India's.</w:t>
      </w:r>
    </w:p>
    <w:p>
      <w:pPr>
        <w:spacing w:after="0" w:before="0"/>
      </w:pPr>
      <w:r>
        <w:t xml:space="preserve"/>
      </w:r>
    </w:p>
    <w:p>
      <w:pPr>
        <w:pStyle w:val="Heading2"/>
        <w:spacing w:after="120" w:before="240"/>
      </w:pPr>
      <w:r>
        <w:rPr>
          <w:rFonts w:ascii="Arial" w:cs="Arial" w:eastAsia="Arial" w:hAnsi="Arial"/>
          <w:b/>
          <w:bCs/>
          <w:color w:val="1F2937"/>
          <w:sz w:val="24"/>
          <w:szCs w:val="24"/>
        </w:rPr>
        <w:t xml:space="preserve">3.1 Scoring Parameters (Maximum Score: 100)</w:t>
      </w:r>
    </w:p>
    <w:p>
      <w:pP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Score</w:t>
            </w:r>
          </w:p>
        </w:tc>
        <w:tc>
          <w:tcPr>
            <w:tcW w:type="dxa" w:w="256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&lt; 35 years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No added risk</w:t>
            </w:r>
          </w:p>
        </w:tc>
      </w:tr>
      <w:tr>
        <w:tc>
          <w:tcPr>
            <w:tcW w:type="dxa" w:w="28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w:r>
          </w:p>
        </w:tc>
        <w:tc>
          <w:tcPr>
            <w:tcW w:type="dxa" w:w="20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35 – 49 years</w:t>
            </w:r>
          </w:p>
        </w:tc>
        <w:tc>
          <w:tcPr>
            <w:tcW w:type="dxa" w:w="20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20</w:t>
            </w:r>
          </w:p>
        </w:tc>
        <w:tc>
          <w:tcPr>
            <w:tcW w:type="dxa" w:w="256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Moderate risk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 50 years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30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High-risk age group</w:t>
            </w:r>
          </w:p>
        </w:tc>
      </w:tr>
      <w:tr>
        <w:tc>
          <w:tcPr>
            <w:tcW w:type="dxa" w:w="28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Waist Circumference</w:t>
            </w:r>
          </w:p>
        </w:tc>
        <w:tc>
          <w:tcPr>
            <w:tcW w:type="dxa" w:w="20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Female &lt; 80 cm / Male &lt; 90 cm</w:t>
            </w:r>
          </w:p>
        </w:tc>
        <w:tc>
          <w:tcPr>
            <w:tcW w:type="dxa" w:w="20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0</w:t>
            </w:r>
          </w:p>
        </w:tc>
        <w:tc>
          <w:tcPr>
            <w:tcW w:type="dxa" w:w="256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Normal (reference)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Female 80–89 cm / Male 90–99 cm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Elevated</w:t>
            </w:r>
          </w:p>
        </w:tc>
      </w:tr>
      <w:tr>
        <w:tc>
          <w:tcPr>
            <w:tcW w:type="dxa" w:w="28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w:r>
          </w:p>
        </w:tc>
        <w:tc>
          <w:tcPr>
            <w:tcW w:type="dxa" w:w="20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Female ≥ 90 cm / Male ≥ 100 cm</w:t>
            </w:r>
          </w:p>
        </w:tc>
        <w:tc>
          <w:tcPr>
            <w:tcW w:type="dxa" w:w="20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20</w:t>
            </w:r>
          </w:p>
        </w:tc>
        <w:tc>
          <w:tcPr>
            <w:tcW w:type="dxa" w:w="256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High abdominal obesity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Physical Activity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Vigorous exercise / strenuous 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Protective</w:t>
            </w:r>
          </w:p>
        </w:tc>
      </w:tr>
      <w:tr>
        <w:tc>
          <w:tcPr>
            <w:tcW w:type="dxa" w:w="28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w:r>
          </w:p>
        </w:tc>
        <w:tc>
          <w:tcPr>
            <w:tcW w:type="dxa" w:w="20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Moderate exercise</w:t>
            </w:r>
          </w:p>
        </w:tc>
        <w:tc>
          <w:tcPr>
            <w:tcW w:type="dxa" w:w="20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10</w:t>
            </w:r>
          </w:p>
        </w:tc>
        <w:tc>
          <w:tcPr>
            <w:tcW w:type="dxa" w:w="256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Partial protection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Mild exercise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Lower activity</w:t>
            </w:r>
          </w:p>
        </w:tc>
      </w:tr>
      <w:tr>
        <w:tc>
          <w:tcPr>
            <w:tcW w:type="dxa" w:w="28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w:r>
          </w:p>
        </w:tc>
        <w:tc>
          <w:tcPr>
            <w:tcW w:type="dxa" w:w="20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Sedentary (no exercise)</w:t>
            </w:r>
          </w:p>
        </w:tc>
        <w:tc>
          <w:tcPr>
            <w:tcW w:type="dxa" w:w="20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30</w:t>
            </w:r>
          </w:p>
        </w:tc>
        <w:tc>
          <w:tcPr>
            <w:tcW w:type="dxa" w:w="256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Highest risk factor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Family History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No diabetic parent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No genetic load</w:t>
            </w:r>
          </w:p>
        </w:tc>
      </w:tr>
      <w:tr>
        <w:tc>
          <w:tcPr>
            <w:tcW w:type="dxa" w:w="28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w:r>
          </w:p>
        </w:tc>
        <w:tc>
          <w:tcPr>
            <w:tcW w:type="dxa" w:w="20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Either parent diabetic</w:t>
            </w:r>
          </w:p>
        </w:tc>
        <w:tc>
          <w:tcPr>
            <w:tcW w:type="dxa" w:w="20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10</w:t>
            </w:r>
          </w:p>
        </w:tc>
        <w:tc>
          <w:tcPr>
            <w:tcW w:type="dxa" w:w="256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Moderate genetic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Both parents diabetic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High genetic risk</w:t>
            </w:r>
          </w:p>
        </w:tc>
      </w:tr>
    </w:tbl>
    <w:p>
      <w:pPr>
        <w:spacing w:after="0" w:before="0"/>
      </w:pPr>
      <w:r>
        <w:t xml:space="preserve"/>
      </w:r>
    </w:p>
    <w:p>
      <w:pPr>
        <w:pStyle w:val="Heading2"/>
        <w:spacing w:after="120" w:before="240"/>
      </w:pPr>
      <w:r>
        <w:rPr>
          <w:rFonts w:ascii="Arial" w:cs="Arial" w:eastAsia="Arial" w:hAnsi="Arial"/>
          <w:b/>
          <w:bCs/>
          <w:color w:val="1F2937"/>
          <w:sz w:val="24"/>
          <w:szCs w:val="24"/>
        </w:rPr>
        <w:t xml:space="preserve">3.2 Risk Classification</w:t>
      </w:r>
    </w:p>
    <w:p>
      <w:pP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IDRS Score</w:t>
            </w:r>
          </w:p>
        </w:tc>
        <w:tc>
          <w:tcPr>
            <w:tcW w:type="dxa" w:w="280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 Level</w:t>
            </w:r>
          </w:p>
        </w:tc>
        <w:tc>
          <w:tcPr>
            <w:tcW w:type="dxa" w:w="456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Recommended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&lt; 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Low Risk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General awareness; no immediate screening needed</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30 – 50</w:t>
            </w:r>
          </w:p>
        </w:tc>
        <w:tc>
          <w:tcPr>
            <w:tcW w:type="dxa" w:w="28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Medium Risk</w:t>
            </w:r>
          </w:p>
        </w:tc>
        <w:tc>
          <w:tcPr>
            <w:tcW w:type="dxa" w:w="456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Lifestyle counselling; repeat IDRS annually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60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High Risk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Immediate OGTT / fasting glucose test; clinical referral</w:t>
            </w:r>
          </w:p>
        </w:tc>
      </w:tr>
    </w:tbl>
    <w:p>
      <w:pPr>
        <w:spacing w:after="0" w:before="0"/>
      </w:pPr>
      <w:r>
        <w:t xml:space="preserve"/>
      </w:r>
    </w:p>
    <w:p>
      <w:pPr>
        <w:pStyle w:val="Heading2"/>
        <w:spacing w:after="120" w:before="240"/>
      </w:pPr>
      <w:r>
        <w:rPr>
          <w:rFonts w:ascii="Arial" w:cs="Arial" w:eastAsia="Arial" w:hAnsi="Arial"/>
          <w:b/>
          <w:bCs/>
          <w:color w:val="1F2937"/>
          <w:sz w:val="24"/>
          <w:szCs w:val="24"/>
        </w:rPr>
        <w:t xml:space="preserve">3.3 Why These 4 Parameters</w:t>
      </w:r>
    </w:p>
    <w:p>
      <w:pPr>
        <w:spacing w:after="80" w:before="80"/>
      </w:pPr>
      <w:r>
        <w:rPr>
          <w:rFonts w:ascii="Arial" w:cs="Arial" w:eastAsia="Arial" w:hAnsi="Arial"/>
          <w:color w:val="1F2937"/>
          <w:sz w:val="22"/>
          <w:szCs w:val="22"/>
        </w:rPr>
        <w:t xml:space="preserve">These parameters were selected via multiple logistic regression analysis on 26,001 individuals from the Chennai Urban Rural Epidemiology Study (CURES). They represent the dominant risk factors specifically for the Asian Indian phenotype — characterised by:</w:t>
      </w:r>
    </w:p>
    <w:p>
      <w:pPr>
        <w:pStyle w:val="ListParagraph"/>
        <w:numPr>
          <w:ilvl w:val="0"/>
          <w:numId w:val="2"/>
        </w:numPr>
        <w:spacing w:after="60" w:before="60"/>
      </w:pPr>
      <w:r>
        <w:rPr>
          <w:rFonts w:ascii="Arial" w:cs="Arial" w:eastAsia="Arial" w:hAnsi="Arial"/>
          <w:color w:val="1F2937"/>
          <w:sz w:val="22"/>
          <w:szCs w:val="22"/>
        </w:rPr>
        <w:t xml:space="preserve">Higher visceral fat at lower BMI thresholds than Western populations (the 'Asian Indian Phenotype').</w:t>
      </w:r>
    </w:p>
    <w:p>
      <w:pPr>
        <w:pStyle w:val="ListParagraph"/>
        <w:numPr>
          <w:ilvl w:val="0"/>
          <w:numId w:val="2"/>
        </w:numPr>
        <w:spacing w:after="60" w:before="60"/>
      </w:pPr>
      <w:r>
        <w:rPr>
          <w:rFonts w:ascii="Arial" w:cs="Arial" w:eastAsia="Arial" w:hAnsi="Arial"/>
          <w:color w:val="1F2937"/>
          <w:sz w:val="22"/>
          <w:szCs w:val="22"/>
        </w:rPr>
        <w:t xml:space="preserve">Earlier onset of T2DM — affecting working-age adults (35-50) rather than the elderly.</w:t>
      </w:r>
    </w:p>
    <w:p>
      <w:pPr>
        <w:pStyle w:val="ListParagraph"/>
        <w:numPr>
          <w:ilvl w:val="0"/>
          <w:numId w:val="2"/>
        </w:numPr>
        <w:spacing w:after="80" w:before="60"/>
      </w:pPr>
      <w:r>
        <w:rPr>
          <w:rFonts w:ascii="Arial" w:cs="Arial" w:eastAsia="Arial" w:hAnsi="Arial"/>
          <w:color w:val="1F2937"/>
          <w:sz w:val="22"/>
          <w:szCs w:val="22"/>
        </w:rPr>
        <w:t xml:space="preserve">Strong family history / genetic susceptibility, compounded by rapid sedentarisation from urbanisation.</w:t>
      </w:r>
    </w:p>
    <w:p>
      <w:pPr>
        <w:pBdr>
          <w:bottom w:val="single" w:color="B2D8DB" w:sz="6" w:space="1"/>
        </w:pBdr>
        <w:spacing w:after="160" w:before="160"/>
      </w:pPr>
      <w:r>
        <w:t xml:space="preserve"/>
      </w:r>
    </w:p>
    <w:p>
      <w:pPr>
        <w:pStyle w:val="Heading1"/>
        <w:spacing w:after="160" w:before="320"/>
      </w:pPr>
      <w:r>
        <w:rPr>
          <w:rFonts w:ascii="Arial" w:cs="Arial" w:eastAsia="Arial" w:hAnsi="Arial"/>
          <w:b/>
          <w:bCs/>
          <w:color w:val="1A6B72"/>
          <w:sz w:val="28"/>
          <w:szCs w:val="28"/>
        </w:rPr>
        <w:t xml:space="preserve">4. IDRS Validation Studies</w:t>
      </w:r>
    </w:p>
    <w:p>
      <w:pPr>
        <w:spacing w:after="80" w:before="80"/>
      </w:pPr>
      <w:r>
        <w:rPr>
          <w:rFonts w:ascii="Arial" w:cs="Arial" w:eastAsia="Arial" w:hAnsi="Arial"/>
          <w:color w:val="1F2937"/>
          <w:sz w:val="22"/>
          <w:szCs w:val="22"/>
        </w:rPr>
        <w:t xml:space="preserve">The IDRS has been independently validated across multiple Indian states and populations. The table below summarises key validation findings.</w:t>
      </w:r>
    </w:p>
    <w:p>
      <w:pPr>
        <w:spacing w:after="0" w:before="0"/>
      </w:pPr>
      <w:r>
        <w:t xml:space="preserve"/>
      </w:r>
    </w:p>
    <w:p>
      <w:pP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Study / Validation</w:t>
            </w:r>
          </w:p>
        </w:tc>
        <w:tc>
          <w:tcPr>
            <w:tcW w:type="dxa" w:w="200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Cutoff Used</w:t>
            </w:r>
          </w:p>
        </w:tc>
        <w:tc>
          <w:tcPr>
            <w:tcW w:type="dxa" w:w="416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Result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CURES (Chennai, original)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IDRS ≥ 60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Sensitivity 72.5%, Specificity 60.1%, NPV 95.1%</w:t>
            </w:r>
          </w:p>
        </w:tc>
      </w:tr>
      <w:tr>
        <w:tc>
          <w:tcPr>
            <w:tcW w:type="dxa" w:w="32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Boloor Diabetes Study (Karnataka)</w:t>
            </w:r>
          </w:p>
        </w:tc>
        <w:tc>
          <w:tcPr>
            <w:tcW w:type="dxa" w:w="20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IDRS ≥ 60</w:t>
            </w:r>
          </w:p>
        </w:tc>
        <w:tc>
          <w:tcPr>
            <w:tcW w:type="dxa" w:w="416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Detected 62.2% of undiagnosed cases; Specificity 73.7%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Tamil Nadu Urban &amp; Rural (Gupta et 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IDRS ≥ 60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Diabetics scored 76% (urban), 56% (rural) vs 31% general pop</w:t>
            </w:r>
          </w:p>
        </w:tc>
      </w:tr>
      <w:tr>
        <w:tc>
          <w:tcPr>
            <w:tcW w:type="dxa" w:w="32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CUPS Longitudinal Study</w:t>
            </w:r>
          </w:p>
        </w:tc>
        <w:tc>
          <w:tcPr>
            <w:tcW w:type="dxa" w:w="20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IDRS ≥ 60</w:t>
            </w:r>
          </w:p>
        </w:tc>
        <w:tc>
          <w:tcPr>
            <w:tcW w:type="dxa" w:w="416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Highest conversion rate to T2DM (27.8%) over 8-year follow-up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IDRS vs TCF7L2 Genotyping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IDRS ≥ 60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IDRS detected 75% of new cases vs 50% by genetic test — cheaper</w:t>
            </w:r>
          </w:p>
        </w:tc>
      </w:tr>
    </w:tbl>
    <w:p>
      <w:pPr>
        <w:spacing w:after="80" w:before="80"/>
        <w:ind w:left="360"/>
      </w:pPr>
      <w:r>
        <w:rPr>
          <w:rFonts w:ascii="Arial" w:cs="Arial" w:eastAsia="Arial" w:hAnsi="Arial"/>
          <w:i/>
          <w:iCs/>
          <w:color w:val="6B7280"/>
          <w:sz w:val="20"/>
          <w:szCs w:val="20"/>
        </w:rPr>
        <w:t xml:space="preserve">📌 NPV (Negative Predictive Value) of 95.1% at IDRS ≥ 60 is critical for community screening — it means a LOW score reliably rules out diabetes. This allows ASHA workers to safely prioritise who needs clinical referral.</w:t>
      </w:r>
    </w:p>
    <w:p>
      <w:pPr>
        <w:spacing w:after="0" w:before="0"/>
      </w:pPr>
      <w:r>
        <w:t xml:space="preserve"/>
      </w:r>
    </w:p>
    <w:p>
      <w:pPr>
        <w:pStyle w:val="Heading2"/>
        <w:spacing w:after="120" w:before="240"/>
      </w:pPr>
      <w:r>
        <w:rPr>
          <w:rFonts w:ascii="Arial" w:cs="Arial" w:eastAsia="Arial" w:hAnsi="Arial"/>
          <w:b/>
          <w:bCs/>
          <w:color w:val="1F2937"/>
          <w:sz w:val="24"/>
          <w:szCs w:val="24"/>
        </w:rPr>
        <w:t xml:space="preserve">4.1 Parameter-Level Risk Evidence</w:t>
      </w:r>
    </w:p>
    <w:p>
      <w:pP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rPr>
          <w:tblHeader/>
        </w:trPr>
        <w:tc>
          <w:tcPr>
            <w:tcW w:type="dxa" w:w="280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316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Statistical Finding</w:t>
            </w:r>
          </w:p>
        </w:tc>
        <w:tc>
          <w:tcPr>
            <w:tcW w:type="dxa" w:w="340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Implication for India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Waist Circumference (≥ 90/80 cm)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Odds Ratio 47.45 (CURES study)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Strongest single predictor — drives most of India's burden</w:t>
            </w:r>
          </w:p>
        </w:tc>
      </w:tr>
      <w:tr>
        <w:tc>
          <w:tcPr>
            <w:tcW w:type="dxa" w:w="28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Physical Inactivity (sedentary)</w:t>
            </w:r>
          </w:p>
        </w:tc>
        <w:tc>
          <w:tcPr>
            <w:tcW w:type="dxa" w:w="316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Score 30 / max 30 — highest weight</w:t>
            </w:r>
          </w:p>
        </w:tc>
        <w:tc>
          <w:tcPr>
            <w:tcW w:type="dxa" w:w="34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Rapid urbanisation making this the fastest-growing risk factor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Age (≥ 50 years)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Score 30; RR 3.1 for incident T2DM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India's ageing population amplifies this risk over time</w:t>
            </w:r>
          </w:p>
        </w:tc>
      </w:tr>
      <w:tr>
        <w:tc>
          <w:tcPr>
            <w:tcW w:type="dxa" w:w="28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Family History (both parents)</w:t>
            </w:r>
          </w:p>
        </w:tc>
        <w:tc>
          <w:tcPr>
            <w:tcW w:type="dxa" w:w="316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Score 20; genetic load significant</w:t>
            </w:r>
          </w:p>
        </w:tc>
        <w:tc>
          <w:tcPr>
            <w:tcW w:type="dxa" w:w="34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Underappreciated in rural settings; ASHA workers can ask this</w:t>
            </w:r>
          </w:p>
        </w:tc>
      </w:tr>
    </w:tbl>
    <w:p>
      <w:pPr>
        <w:pBdr>
          <w:bottom w:val="single" w:color="B2D8DB" w:sz="6" w:space="1"/>
        </w:pBdr>
        <w:spacing w:after="160" w:before="160"/>
      </w:pPr>
      <w:r>
        <w:t xml:space="preserve"/>
      </w:r>
    </w:p>
    <w:p>
      <w:pPr>
        <w:pStyle w:val="Heading1"/>
        <w:spacing w:after="160" w:before="320"/>
      </w:pPr>
      <w:r>
        <w:rPr>
          <w:rFonts w:ascii="Arial" w:cs="Arial" w:eastAsia="Arial" w:hAnsi="Arial"/>
          <w:b/>
          <w:bCs/>
          <w:color w:val="1A6B72"/>
          <w:sz w:val="28"/>
          <w:szCs w:val="28"/>
        </w:rPr>
        <w:t xml:space="preserve">5. IDRS Applications Beyond Diabetes Detection</w:t>
      </w:r>
    </w:p>
    <w:p>
      <w:pPr>
        <w:spacing w:after="80" w:before="80"/>
      </w:pPr>
      <w:r>
        <w:rPr>
          <w:rFonts w:ascii="Arial" w:cs="Arial" w:eastAsia="Arial" w:hAnsi="Arial"/>
          <w:color w:val="1F2937"/>
          <w:sz w:val="22"/>
          <w:szCs w:val="22"/>
        </w:rPr>
        <w:t xml:space="preserve">A significant finding from follow-up research is that IDRS is not just a diabetes screener — it is a broad cardiometabolic risk indicator. This matters for Yogi's project because it strengthens the case for deploying IDRS at scale.</w:t>
      </w:r>
    </w:p>
    <w:p>
      <w:pPr>
        <w:spacing w:after="0" w:before="0"/>
      </w:pPr>
      <w:r>
        <w:t xml:space="preserve"/>
      </w:r>
    </w:p>
    <w:p>
      <w:pP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Application</w:t>
            </w:r>
          </w:p>
        </w:tc>
        <w:tc>
          <w:tcPr>
            <w:tcW w:type="dxa" w:w="616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Evidence / Finding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Detect undiagnosed T2DM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Primary use; 72.5% sensitivity at IDRS ≥ 60</w:t>
            </w:r>
          </w:p>
        </w:tc>
      </w:tr>
      <w:tr>
        <w:tc>
          <w:tcPr>
            <w:tcW w:type="dxa" w:w="32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Predict incident diabetes</w:t>
            </w:r>
          </w:p>
        </w:tc>
        <w:tc>
          <w:tcPr>
            <w:tcW w:type="dxa" w:w="616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IDRS ≥ 60: RR 3.1 for future T2DM; even in normal glucose tolerance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Classify T2DM vs non-T2DM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AUC 0.894; IDRS &lt; 60 flags steroid-induced and other secondary diabetes</w:t>
            </w:r>
          </w:p>
        </w:tc>
      </w:tr>
      <w:tr>
        <w:tc>
          <w:tcPr>
            <w:tcW w:type="dxa" w:w="32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Screen for Metabolic Syndrome</w:t>
            </w:r>
          </w:p>
        </w:tc>
        <w:tc>
          <w:tcPr>
            <w:tcW w:type="dxa" w:w="616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Prevalence: 1.8% (low IDRS) → 30.3% (IDRS ≥ 60)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Coronary Artery Disease risk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CAD prevalence: 0.06% → 2.2% across IDRS categories</w:t>
            </w:r>
          </w:p>
        </w:tc>
      </w:tr>
      <w:tr>
        <w:tc>
          <w:tcPr>
            <w:tcW w:type="dxa" w:w="32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Neuropathy &amp; PVD</w:t>
            </w:r>
          </w:p>
        </w:tc>
        <w:tc>
          <w:tcPr>
            <w:tcW w:type="dxa" w:w="616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Neuropathy OR 4.27; PVD OR 2.57 in high-IDRS group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Non-Alcoholic Fatty Liver (NAFLD)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NAFLD prevalence 15% (low) vs 30.4% (high IDRS); OR 1.78</w:t>
            </w:r>
          </w:p>
        </w:tc>
      </w:tr>
      <w:tr>
        <w:tc>
          <w:tcPr>
            <w:tcW w:type="dxa" w:w="32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Sleep disorders</w:t>
            </w:r>
          </w:p>
        </w:tc>
        <w:tc>
          <w:tcPr>
            <w:tcW w:type="dxa" w:w="616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Snoring: 22.2% → 48.2%; Daytime sleepiness: 33.3% → 63.7% across IDRS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Arterial stiffness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Augmentation index: 13.3 → 24.6 with rising IDRS; OR 6.4</w:t>
            </w:r>
          </w:p>
        </w:tc>
      </w:tr>
    </w:tbl>
    <w:p>
      <w:pPr>
        <w:spacing w:after="0" w:before="0"/>
      </w:pPr>
      <w:r>
        <w:t xml:space="preserve"/>
      </w:r>
    </w:p>
    <w:p>
      <w:pPr>
        <w:spacing w:after="80" w:before="80"/>
        <w:ind w:left="360"/>
      </w:pPr>
      <w:r>
        <w:rPr>
          <w:rFonts w:ascii="Arial" w:cs="Arial" w:eastAsia="Arial" w:hAnsi="Arial"/>
          <w:i/>
          <w:iCs/>
          <w:color w:val="6B7280"/>
          <w:sz w:val="20"/>
          <w:szCs w:val="20"/>
        </w:rPr>
        <w:t xml:space="preserve">📌 This breadth of application means a single IDRS screening by an ASHA worker can flag a patient not just for diabetes, but for CAD risk, liver disease, and sleep disorder referrals — multiplying the value of each community health interaction.</w:t>
      </w:r>
    </w:p>
    <w:p>
      <w:pPr>
        <w:pBdr>
          <w:bottom w:val="single" w:color="B2D8DB" w:sz="6" w:space="1"/>
        </w:pBdr>
        <w:spacing w:after="160" w:before="160"/>
      </w:pPr>
      <w:r>
        <w:t xml:space="preserve"/>
      </w:r>
    </w:p>
    <w:p>
      <w:pPr>
        <w:pStyle w:val="Heading1"/>
        <w:spacing w:after="160" w:before="320"/>
      </w:pPr>
      <w:r>
        <w:rPr>
          <w:rFonts w:ascii="Arial" w:cs="Arial" w:eastAsia="Arial" w:hAnsi="Arial"/>
          <w:b/>
          <w:bCs/>
          <w:color w:val="1A6B72"/>
          <w:sz w:val="28"/>
          <w:szCs w:val="28"/>
        </w:rPr>
        <w:t xml:space="preserve">6. Why IDRS Works at India's Scale</w:t>
      </w:r>
    </w:p>
    <w:p>
      <w:pPr>
        <w:pStyle w:val="ListParagraph"/>
        <w:numPr>
          <w:ilvl w:val="0"/>
          <w:numId w:val="2"/>
        </w:numPr>
        <w:spacing w:after="60" w:before="60"/>
      </w:pPr>
      <w:r>
        <w:rPr>
          <w:rFonts w:ascii="Arial" w:cs="Arial" w:eastAsia="Arial" w:hAnsi="Arial"/>
          <w:color w:val="1F2937"/>
          <w:sz w:val="22"/>
          <w:szCs w:val="22"/>
        </w:rPr>
        <w:t xml:space="preserve">Zero cost: Requires no equipment, no blood tests, no lab infrastructure. Just 4 questions + waist tape.</w:t>
      </w:r>
    </w:p>
    <w:p>
      <w:pPr>
        <w:pStyle w:val="ListParagraph"/>
        <w:numPr>
          <w:ilvl w:val="0"/>
          <w:numId w:val="2"/>
        </w:numPr>
        <w:spacing w:after="60" w:before="60"/>
      </w:pPr>
      <w:r>
        <w:rPr>
          <w:rFonts w:ascii="Arial" w:cs="Arial" w:eastAsia="Arial" w:hAnsi="Arial"/>
          <w:color w:val="1F2937"/>
          <w:sz w:val="22"/>
          <w:szCs w:val="22"/>
        </w:rPr>
        <w:t xml:space="preserve">ASHA-compatible: Can be administered by minimally trained community health workers at the village level.</w:t>
      </w:r>
    </w:p>
    <w:p>
      <w:pPr>
        <w:pStyle w:val="ListParagraph"/>
        <w:numPr>
          <w:ilvl w:val="0"/>
          <w:numId w:val="2"/>
        </w:numPr>
        <w:spacing w:after="60" w:before="60"/>
      </w:pPr>
      <w:r>
        <w:rPr>
          <w:rFonts w:ascii="Arial" w:cs="Arial" w:eastAsia="Arial" w:hAnsi="Arial"/>
          <w:color w:val="1F2937"/>
          <w:sz w:val="22"/>
          <w:szCs w:val="22"/>
        </w:rPr>
        <w:t xml:space="preserve">Outperforms genotyping: IDRS detected 75% of new diabetes cases vs 50% by TCF7L2 genetic testing — at a fraction of the cost.</w:t>
      </w:r>
    </w:p>
    <w:p>
      <w:pPr>
        <w:pStyle w:val="ListParagraph"/>
        <w:numPr>
          <w:ilvl w:val="0"/>
          <w:numId w:val="2"/>
        </w:numPr>
        <w:spacing w:after="60" w:before="60"/>
      </w:pPr>
      <w:r>
        <w:rPr>
          <w:rFonts w:ascii="Arial" w:cs="Arial" w:eastAsia="Arial" w:hAnsi="Arial"/>
          <w:color w:val="1F2937"/>
          <w:sz w:val="22"/>
          <w:szCs w:val="22"/>
        </w:rPr>
        <w:t xml:space="preserve">Digitisable: The score can be calculated via a website or mobile app (available at drmohansdiabetes.com), enabling AI-assisted triage at scale.</w:t>
      </w:r>
    </w:p>
    <w:p>
      <w:pPr>
        <w:pStyle w:val="ListParagraph"/>
        <w:numPr>
          <w:ilvl w:val="0"/>
          <w:numId w:val="2"/>
        </w:numPr>
        <w:spacing w:after="80" w:before="60"/>
      </w:pPr>
      <w:r>
        <w:rPr>
          <w:rFonts w:ascii="Arial" w:cs="Arial" w:eastAsia="Arial" w:hAnsi="Arial"/>
          <w:color w:val="1F2937"/>
          <w:sz w:val="22"/>
          <w:szCs w:val="22"/>
        </w:rPr>
        <w:t xml:space="preserve">Validated across India: Confirmed in Chennai, Karnataka, Tamil Nadu — covering urban, rural, and tribal settings.</w:t>
      </w:r>
    </w:p>
    <w:p>
      <w:pPr>
        <w:pBdr>
          <w:bottom w:val="single" w:color="B2D8DB" w:sz="6" w:space="1"/>
        </w:pBdr>
        <w:spacing w:after="160" w:before="160"/>
      </w:pPr>
      <w:r>
        <w:t xml:space="preserve"/>
      </w:r>
    </w:p>
    <w:p>
      <w:pPr>
        <w:pStyle w:val="Heading1"/>
        <w:spacing w:after="160" w:before="320"/>
      </w:pPr>
      <w:r>
        <w:rPr>
          <w:rFonts w:ascii="Arial" w:cs="Arial" w:eastAsia="Arial" w:hAnsi="Arial"/>
          <w:b/>
          <w:bCs/>
          <w:color w:val="1A6B72"/>
          <w:sz w:val="28"/>
          <w:szCs w:val="28"/>
        </w:rPr>
        <w:t xml:space="preserve">7. Data Source Summary for Notebooks</w:t>
      </w:r>
    </w:p>
    <w:p>
      <w:pP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w:t>
            </w:r>
          </w:p>
        </w:tc>
        <w:tc>
          <w:tcPr>
            <w:tcW w:type="dxa" w:w="200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Coverage</w:t>
            </w:r>
          </w:p>
        </w:tc>
        <w:tc>
          <w:tcPr>
            <w:tcW w:type="dxa" w:w="2960"/>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Used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NFHS-5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2019-21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State-level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Overweight, high blood sugar indicators</w:t>
            </w:r>
          </w:p>
        </w:tc>
      </w:tr>
      <w:tr>
        <w:tc>
          <w:tcPr>
            <w:tcW w:type="dxa" w:w="24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IDF Atlas 2023</w:t>
            </w:r>
          </w:p>
        </w:tc>
        <w:tc>
          <w:tcPr>
            <w:tcW w:type="dxa" w:w="20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2023</w:t>
            </w:r>
          </w:p>
        </w:tc>
        <w:tc>
          <w:tcPr>
            <w:tcW w:type="dxa" w:w="20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National</w:t>
            </w:r>
          </w:p>
        </w:tc>
        <w:tc>
          <w:tcPr>
            <w:tcW w:type="dxa" w:w="296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101M diabetics — current total burden estimate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ICMR-INDIAB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2011-ongoing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National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62.4M with T2DM; &gt;50% undiagnosed</w:t>
            </w:r>
          </w:p>
        </w:tc>
      </w:tr>
      <w:tr>
        <w:tc>
          <w:tcPr>
            <w:tcW w:type="dxa" w:w="24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CURES / MDRF-IDRS</w:t>
            </w:r>
          </w:p>
        </w:tc>
        <w:tc>
          <w:tcPr>
            <w:tcW w:type="dxa" w:w="20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2005, updated</w:t>
            </w:r>
          </w:p>
        </w:tc>
        <w:tc>
          <w:tcPr>
            <w:tcW w:type="dxa" w:w="20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Urban + rural TN</w:t>
            </w:r>
          </w:p>
        </w:tc>
        <w:tc>
          <w:tcPr>
            <w:tcW w:type="dxa" w:w="296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IDRS development, validation, applications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RHS / Health Dynamics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2005–2023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All states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Rural infrastructure; doctor vacancy data</w:t>
            </w:r>
          </w:p>
        </w:tc>
      </w:tr>
    </w:tbl>
    <w:p>
      <w:pPr>
        <w:spacing w:after="80" w:before="80"/>
        <w:ind w:left="360"/>
      </w:pPr>
      <w:r>
        <w:rPr>
          <w:rFonts w:ascii="Arial" w:cs="Arial" w:eastAsia="Arial" w:hAnsi="Arial"/>
          <w:i/>
          <w:iCs/>
          <w:color w:val="6B7280"/>
          <w:sz w:val="20"/>
          <w:szCs w:val="20"/>
        </w:rPr>
        <w:t xml:space="preserve">📌 NFHS-6 (expected 2026-27) will be the first survey to capture post-COVID metabolic changes at state level. Until then, IDF Atlas 2023 projections are the most current national estimate available.</w:t>
      </w:r>
    </w:p>
    <w:p>
      <w:pPr>
        <w:spacing w:after="0" w:before="0"/>
      </w:pPr>
      <w:r>
        <w:t xml:space="preserve"/>
      </w:r>
    </w:p>
    <w:p>
      <w:pPr>
        <w:spacing w:after="60" w:before="200"/>
        <w:jc w:val="right"/>
      </w:pPr>
      <w:r>
        <w:rPr>
          <w:rFonts w:ascii="Arial" w:cs="Arial" w:eastAsia="Arial" w:hAnsi="Arial"/>
          <w:i/>
          <w:iCs/>
          <w:color w:val="6B7280"/>
          <w:sz w:val="18"/>
          <w:szCs w:val="18"/>
        </w:rPr>
        <w:t xml:space="preserve">Source: MDRF-IDRS Paper, IJEM Vol.17 Issue 1, Jan-Feb 2013  |  NFHS-5 (MoHFW)  |  PIB Press Release, Sept 2024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6B72"/>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2026-05-27T08:48:56.064Z</dcterms:created>
  <dcterms:modified xsi:type="dcterms:W3CDTF">2026-05-27T08:48:56.064Z</dcterms:modified>
</cp:coreProperties>
</file>

<file path=docProps/custom.xml><?xml version="1.0" encoding="utf-8"?>
<Properties xmlns="http://schemas.openxmlformats.org/officeDocument/2006/custom-properties" xmlns:vt="http://schemas.openxmlformats.org/officeDocument/2006/docPropsVTypes"/>
</file>