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after="100"/>
        <w:jc w:val="center"/>
      </w:pPr>
      <w:r>
        <w:rPr>
          <w:b/>
          <w:bCs/>
          <w:color w:val="1a365d"/>
          <w:sz w:val="40"/>
          <w:szCs w:val="40"/>
        </w:rPr>
        <w:t xml:space="preserve">SPÉCIFICATIONS TECHNIQUES</w:t>
      </w:r>
    </w:p>
    <w:p>
      <w:pPr>
        <w:spacing w:after="200"/>
        <w:jc w:val="center"/>
      </w:pPr>
      <w:r>
        <w:rPr>
          <w:b/>
          <w:bCs/>
          <w:color w:val="2b6cb0"/>
          <w:sz w:val="28"/>
          <w:szCs w:val="28"/>
        </w:rPr>
        <w:t xml:space="preserve">FABRICATION D'UN CÂBLE DE TEST AVEC ANOMALIES</w:t>
      </w:r>
    </w:p>
    <w:p>
      <w:pPr>
        <w:spacing w:after="800"/>
        <w:jc w:val="center"/>
      </w:pPr>
      <w:r>
        <w:rPr>
          <w:i/>
          <w:iCs/>
          <w:color w:val="718096"/>
          <w:sz w:val="20"/>
          <w:szCs w:val="20"/>
        </w:rPr>
        <w:t xml:space="preserve">Projet de Fin d'Études — Système Intelligent de Contrôle Qualité</w:t>
      </w:r>
    </w:p>
    <w:p>
      <w:pPr>
        <w:spacing w:before="5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val="false"/>
        </w:trPr>
        <w:tc>
          <w:tcPr>
            <w:tcW w:type="pct" w:w="40%"/>
            <w:tcMar>
              <w:top w:type="dxa" w:w="100"/>
              <w:left w:type="dxa" w:w="100"/>
              <w:bottom w:type="dxa" w:w="100"/>
              <w:right w:type="dxa" w:w="100"/>
            </w:tcMar>
            <w:vAlign w:val="center"/>
          </w:tcPr>
          <w:p>
            <w:pPr>
              <w:jc w:val="left"/>
            </w:pPr>
            <w:r>
              <w:rPr>
                <w:b w:val="false"/>
                <w:bCs w:val="false"/>
                <w:color w:val="000000"/>
                <w:sz w:val="18"/>
                <w:szCs w:val="18"/>
              </w:rPr>
              <w:t xml:space="preserve">Destinataire</w:t>
            </w:r>
          </w:p>
        </w:tc>
        <w:tc>
          <w:tcPr>
            <w:tcW w:type="pct" w:w="60%"/>
            <w:tcMar>
              <w:top w:type="dxa" w:w="100"/>
              <w:left w:type="dxa" w:w="100"/>
              <w:bottom w:type="dxa" w:w="100"/>
              <w:right w:type="dxa" w:w="100"/>
            </w:tcMar>
            <w:vAlign w:val="center"/>
          </w:tcPr>
          <w:p>
            <w:pPr>
              <w:jc w:val="left"/>
            </w:pPr>
            <w:r>
              <w:rPr>
                <w:b w:val="false"/>
                <w:bCs w:val="false"/>
                <w:color w:val="000000"/>
                <w:sz w:val="18"/>
                <w:szCs w:val="18"/>
              </w:rPr>
              <w:t xml:space="preserve">Encadrant de l'entreprise ICEM / Responsable Production</w:t>
            </w:r>
          </w:p>
        </w:tc>
      </w:tr>
      <w:tr>
        <w:trPr>
          <w:tblHeader w:val="false"/>
        </w:trPr>
        <w:tc>
          <w:tcPr>
            <w:tcW w:type="pct" w:w="40%"/>
            <w:tcMar>
              <w:top w:type="dxa" w:w="100"/>
              <w:left w:type="dxa" w:w="100"/>
              <w:bottom w:type="dxa" w:w="100"/>
              <w:right w:type="dxa" w:w="100"/>
            </w:tcMar>
            <w:vAlign w:val="center"/>
          </w:tcPr>
          <w:p>
            <w:pPr>
              <w:jc w:val="left"/>
            </w:pPr>
            <w:r>
              <w:rPr>
                <w:b w:val="false"/>
                <w:bCs w:val="false"/>
                <w:color w:val="000000"/>
                <w:sz w:val="18"/>
                <w:szCs w:val="18"/>
              </w:rPr>
              <w:t xml:space="preserve">Auteurs</w:t>
            </w:r>
          </w:p>
        </w:tc>
        <w:tc>
          <w:tcPr>
            <w:tcW w:type="pct" w:w="60%"/>
            <w:tcMar>
              <w:top w:type="dxa" w:w="100"/>
              <w:left w:type="dxa" w:w="100"/>
              <w:bottom w:type="dxa" w:w="100"/>
              <w:right w:type="dxa" w:w="100"/>
            </w:tcMar>
            <w:vAlign w:val="center"/>
          </w:tcPr>
          <w:p>
            <w:pPr>
              <w:jc w:val="left"/>
            </w:pPr>
            <w:r>
              <w:rPr>
                <w:b w:val="false"/>
                <w:bCs w:val="false"/>
                <w:color w:val="000000"/>
                <w:sz w:val="18"/>
                <w:szCs w:val="18"/>
              </w:rPr>
              <w:t xml:space="preserve">Maram Laouini &amp; Riheme Mhemdi</w:t>
            </w:r>
          </w:p>
        </w:tc>
      </w:tr>
      <w:tr>
        <w:trPr>
          <w:tblHeader w:val="false"/>
        </w:trPr>
        <w:tc>
          <w:tcPr>
            <w:tcW w:type="pct" w:w="40%"/>
            <w:tcMar>
              <w:top w:type="dxa" w:w="100"/>
              <w:left w:type="dxa" w:w="100"/>
              <w:bottom w:type="dxa" w:w="100"/>
              <w:right w:type="dxa" w:w="100"/>
            </w:tcMar>
            <w:vAlign w:val="center"/>
          </w:tcPr>
          <w:p>
            <w:pPr>
              <w:jc w:val="left"/>
            </w:pPr>
            <w:r>
              <w:rPr>
                <w:b w:val="false"/>
                <w:bCs w:val="false"/>
                <w:color w:val="000000"/>
                <w:sz w:val="18"/>
                <w:szCs w:val="18"/>
              </w:rPr>
              <w:t xml:space="preserve">Projet PFE</w:t>
            </w:r>
          </w:p>
        </w:tc>
        <w:tc>
          <w:tcPr>
            <w:tcW w:type="pct" w:w="60%"/>
            <w:tcMar>
              <w:top w:type="dxa" w:w="100"/>
              <w:left w:type="dxa" w:w="100"/>
              <w:bottom w:type="dxa" w:w="100"/>
              <w:right w:type="dxa" w:w="100"/>
            </w:tcMar>
            <w:vAlign w:val="center"/>
          </w:tcPr>
          <w:p>
            <w:pPr>
              <w:jc w:val="left"/>
            </w:pPr>
            <w:r>
              <w:rPr>
                <w:b w:val="false"/>
                <w:bCs w:val="false"/>
                <w:color w:val="000000"/>
                <w:sz w:val="18"/>
                <w:szCs w:val="18"/>
              </w:rPr>
              <w:t xml:space="preserve">Contrôle qualité automatique par Vision IA (YOLOv11 &amp; Roboflow)</w:t>
            </w:r>
          </w:p>
        </w:tc>
      </w:tr>
      <w:tr>
        <w:trPr>
          <w:tblHeader w:val="false"/>
        </w:trPr>
        <w:tc>
          <w:tcPr>
            <w:tcW w:type="pct" w:w="40%"/>
            <w:tcMar>
              <w:top w:type="dxa" w:w="100"/>
              <w:left w:type="dxa" w:w="100"/>
              <w:bottom w:type="dxa" w:w="100"/>
              <w:right w:type="dxa" w:w="100"/>
            </w:tcMar>
            <w:vAlign w:val="center"/>
          </w:tcPr>
          <w:p>
            <w:pPr>
              <w:jc w:val="left"/>
            </w:pPr>
            <w:r>
              <w:rPr>
                <w:b w:val="false"/>
                <w:bCs w:val="false"/>
                <w:color w:val="000000"/>
                <w:sz w:val="18"/>
                <w:szCs w:val="18"/>
              </w:rPr>
              <w:t xml:space="preserve">Objectif</w:t>
            </w:r>
          </w:p>
        </w:tc>
        <w:tc>
          <w:tcPr>
            <w:tcW w:type="pct" w:w="60%"/>
            <w:tcMar>
              <w:top w:type="dxa" w:w="100"/>
              <w:left w:type="dxa" w:w="100"/>
              <w:bottom w:type="dxa" w:w="100"/>
              <w:right w:type="dxa" w:w="100"/>
            </w:tcMar>
            <w:vAlign w:val="center"/>
          </w:tcPr>
          <w:p>
            <w:pPr>
              <w:jc w:val="left"/>
            </w:pPr>
            <w:r>
              <w:rPr>
                <w:b w:val="false"/>
                <w:bCs w:val="false"/>
                <w:color w:val="000000"/>
                <w:sz w:val="18"/>
                <w:szCs w:val="18"/>
              </w:rPr>
              <w:t xml:space="preserve">Validation en direct (Live Demo) devant le jury de soutenance</w:t>
            </w:r>
          </w:p>
        </w:tc>
      </w:tr>
      <w:tr>
        <w:trPr>
          <w:tblHeader w:val="false"/>
        </w:trPr>
        <w:tc>
          <w:tcPr>
            <w:tcW w:type="pct" w:w="40%"/>
            <w:tcMar>
              <w:top w:type="dxa" w:w="100"/>
              <w:left w:type="dxa" w:w="100"/>
              <w:bottom w:type="dxa" w:w="100"/>
              <w:right w:type="dxa" w:w="100"/>
            </w:tcMar>
            <w:vAlign w:val="center"/>
          </w:tcPr>
          <w:p>
            <w:pPr>
              <w:jc w:val="left"/>
            </w:pPr>
            <w:r>
              <w:rPr>
                <w:b w:val="false"/>
                <w:bCs w:val="false"/>
                <w:color w:val="000000"/>
                <w:sz w:val="18"/>
                <w:szCs w:val="18"/>
              </w:rPr>
              <w:t xml:space="preserve">Date</w:t>
            </w:r>
          </w:p>
        </w:tc>
        <w:tc>
          <w:tcPr>
            <w:tcW w:type="pct" w:w="60%"/>
            <w:tcMar>
              <w:top w:type="dxa" w:w="100"/>
              <w:left w:type="dxa" w:w="100"/>
              <w:bottom w:type="dxa" w:w="100"/>
              <w:right w:type="dxa" w:w="100"/>
            </w:tcMar>
            <w:vAlign w:val="center"/>
          </w:tcPr>
          <w:p>
            <w:pPr>
              <w:jc w:val="left"/>
            </w:pPr>
            <w:r>
              <w:rPr>
                <w:b w:val="false"/>
                <w:bCs w:val="false"/>
                <w:color w:val="000000"/>
                <w:sz w:val="18"/>
                <w:szCs w:val="18"/>
              </w:rPr>
              <w:t xml:space="preserve">26 mai 2026</w:t>
            </w:r>
          </w:p>
        </w:tc>
      </w:tr>
    </w:tbl>
    <w:p>
      <w:pPr>
        <w:pageBreakBefore/>
      </w:pPr>
    </w:p>
    <w:p>
      <w:pPr>
        <w:pStyle w:val="Heading1"/>
        <w:spacing w:before="300" w:after="150"/>
      </w:pPr>
      <w:r>
        <w:rPr>
          <w:b/>
          <w:bCs/>
          <w:color w:val="1a365d"/>
        </w:rPr>
        <w:t xml:space="preserve">1. Contexte et Objectif</w:t>
      </w:r>
    </w:p>
    <w:p>
      <w:pPr>
        <w:spacing w:after="120"/>
        <w:jc w:val="both"/>
      </w:pPr>
      <w:r>
        <w:rPr>
          <w:color w:val="000000"/>
          <w:sz w:val="22"/>
          <w:szCs w:val="22"/>
        </w:rPr>
        <w:t xml:space="preserve">Dans le cadre du déploiement de notre modèle d'intelligence artificielle de détection d'anomalies (YOLOv11 entraîné via Roboflow), nous devons effectuer une démonstration en direct (Live Demo) devant les membres du jury de soutenance.</w:t>
      </w:r>
    </w:p>
    <w:p>
      <w:pPr>
        <w:spacing w:after="120"/>
        <w:jc w:val="both"/>
      </w:pPr>
      <w:r>
        <w:rPr>
          <w:color w:val="000000"/>
          <w:sz w:val="22"/>
          <w:szCs w:val="22"/>
        </w:rPr>
        <w:t xml:space="preserve">Afin de valider la détection en temps réel sur l'application mobile des techniciens et le tableau de bord web de supervision, nous sollicitons la fabrication d'un câble prototype (Golden Cable) comportant volontairement les anomalies et défauts listés dans ce document. Ce câble doit être représentatif des pièces produites au sein de l'usine ICEM.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color="ebf8ff" w:val="solid"/>
            <w:tcMar>
              <w:top w:type="dxa" w:w="150"/>
              <w:left w:type="dxa" w:w="150"/>
              <w:bottom w:type="dxa" w:w="150"/>
              <w:right w:type="dxa" w:w="150"/>
            </w:tcMar>
          </w:tcPr>
          <w:p>
            <w:r>
              <w:rPr>
                <w:b/>
                <w:bCs/>
                <w:color w:val="2b6cb0"/>
                <w:sz w:val="20"/>
                <w:szCs w:val="20"/>
              </w:rPr>
              <w:t xml:space="preserve">REMARQUE IMPORTANTE : </w:t>
            </w:r>
            <w:r>
              <w:rPr>
                <w:color w:val="000000"/>
                <w:sz w:val="20"/>
                <w:szCs w:val="20"/>
              </w:rPr>
              <w:t xml:space="preserve">Ce câble de test physique constituera la preuve concrète du bon fonctionnement de notre solution devant la jury de soutenance.</w:t>
            </w:r>
          </w:p>
        </w:tc>
      </w:tr>
    </w:tbl>
    <w:p>
      <w:pPr>
        <w:pStyle w:val="Heading1"/>
        <w:spacing w:before="300" w:after="150"/>
      </w:pPr>
      <w:r>
        <w:rPr>
          <w:b/>
          <w:bCs/>
          <w:color w:val="1a365d"/>
        </w:rPr>
        <w:t xml:space="preserve">2. Tableau Récapitulatif des Défauts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5%"/>
            <w:shd w:color="1a365d" w:val="solid"/>
            <w:tcMar>
              <w:top w:type="dxa" w:w="100"/>
              <w:left w:type="dxa" w:w="100"/>
              <w:bottom w:type="dxa" w:w="100"/>
              <w:right w:type="dxa" w:w="100"/>
            </w:tcMar>
            <w:vAlign w:val="center"/>
          </w:tcPr>
          <w:p>
            <w:pPr>
              <w:jc w:val="center"/>
            </w:pPr>
            <w:r>
              <w:rPr>
                <w:b/>
                <w:bCs/>
                <w:color w:val="ffffff"/>
                <w:sz w:val="18"/>
                <w:szCs w:val="18"/>
              </w:rPr>
              <w:t xml:space="preserve">N°</w:t>
            </w:r>
          </w:p>
        </w:tc>
        <w:tc>
          <w:tcPr>
            <w:tcW w:type="pct" w:w="20%"/>
            <w:shd w:color="1a365d" w:val="solid"/>
            <w:tcMar>
              <w:top w:type="dxa" w:w="100"/>
              <w:left w:type="dxa" w:w="100"/>
              <w:bottom w:type="dxa" w:w="100"/>
              <w:right w:type="dxa" w:w="100"/>
            </w:tcMar>
            <w:vAlign w:val="center"/>
          </w:tcPr>
          <w:p>
            <w:pPr>
              <w:jc w:val="center"/>
            </w:pPr>
            <w:r>
              <w:rPr>
                <w:b/>
                <w:bCs/>
                <w:color w:val="ffffff"/>
                <w:sz w:val="18"/>
                <w:szCs w:val="18"/>
              </w:rPr>
              <w:t xml:space="preserve">Composant</w:t>
            </w:r>
          </w:p>
        </w:tc>
        <w:tc>
          <w:tcPr>
            <w:tcW w:type="pct" w:w="30%"/>
            <w:shd w:color="1a365d" w:val="solid"/>
            <w:tcMar>
              <w:top w:type="dxa" w:w="100"/>
              <w:left w:type="dxa" w:w="100"/>
              <w:bottom w:type="dxa" w:w="100"/>
              <w:right w:type="dxa" w:w="100"/>
            </w:tcMar>
            <w:vAlign w:val="center"/>
          </w:tcPr>
          <w:p>
            <w:pPr>
              <w:jc w:val="center"/>
            </w:pPr>
            <w:r>
              <w:rPr>
                <w:b/>
                <w:bCs/>
                <w:color w:val="ffffff"/>
                <w:sz w:val="18"/>
                <w:szCs w:val="18"/>
              </w:rPr>
              <w:t xml:space="preserve">Défaut physique</w:t>
            </w:r>
          </w:p>
        </w:tc>
        <w:tc>
          <w:tcPr>
            <w:tcW w:type="pct" w:w="25%"/>
            <w:shd w:color="1a365d" w:val="solid"/>
            <w:tcMar>
              <w:top w:type="dxa" w:w="100"/>
              <w:left w:type="dxa" w:w="100"/>
              <w:bottom w:type="dxa" w:w="100"/>
              <w:right w:type="dxa" w:w="100"/>
            </w:tcMar>
            <w:vAlign w:val="center"/>
          </w:tcPr>
          <w:p>
            <w:pPr>
              <w:jc w:val="center"/>
            </w:pPr>
            <w:r>
              <w:rPr>
                <w:b/>
                <w:bCs/>
                <w:color w:val="ffffff"/>
                <w:sz w:val="18"/>
                <w:szCs w:val="18"/>
              </w:rPr>
              <w:t xml:space="preserve">Classe Roboflow</w:t>
            </w:r>
          </w:p>
        </w:tc>
        <w:tc>
          <w:tcPr>
            <w:tcW w:type="pct" w:w="10%"/>
            <w:shd w:color="1a365d" w:val="solid"/>
            <w:tcMar>
              <w:top w:type="dxa" w:w="100"/>
              <w:left w:type="dxa" w:w="100"/>
              <w:bottom w:type="dxa" w:w="100"/>
              <w:right w:type="dxa" w:w="100"/>
            </w:tcMar>
            <w:vAlign w:val="center"/>
          </w:tcPr>
          <w:p>
            <w:pPr>
              <w:jc w:val="center"/>
            </w:pPr>
            <w:r>
              <w:rPr>
                <w:b/>
                <w:bCs/>
                <w:color w:val="ffffff"/>
                <w:sz w:val="18"/>
                <w:szCs w:val="18"/>
              </w:rPr>
              <w:t xml:space="preserve">Code</w:t>
            </w:r>
          </w:p>
        </w:tc>
        <w:tc>
          <w:tcPr>
            <w:tcW w:type="pct" w:w="10%"/>
            <w:shd w:color="1a365d" w:val="solid"/>
            <w:tcMar>
              <w:top w:type="dxa" w:w="100"/>
              <w:left w:type="dxa" w:w="100"/>
              <w:bottom w:type="dxa" w:w="100"/>
              <w:right w:type="dxa" w:w="100"/>
            </w:tcMar>
            <w:vAlign w:val="center"/>
          </w:tcPr>
          <w:p>
            <w:pPr>
              <w:jc w:val="center"/>
            </w:pPr>
            <w:r>
              <w:rPr>
                <w:b/>
                <w:bCs/>
                <w:color w:val="ffffff"/>
                <w:sz w:val="18"/>
                <w:szCs w:val="18"/>
              </w:rPr>
              <w:t xml:space="preserve">Sévérité</w:t>
            </w:r>
          </w:p>
        </w:tc>
      </w:tr>
      <w:tr>
        <w:trPr>
          <w:tblHeader w:val="false"/>
        </w:trPr>
        <w:tc>
          <w:tcPr>
            <w:tcW w:type="pct" w:w="5%"/>
            <w:tcMar>
              <w:top w:type="dxa" w:w="100"/>
              <w:left w:type="dxa" w:w="100"/>
              <w:bottom w:type="dxa" w:w="100"/>
              <w:right w:type="dxa" w:w="100"/>
            </w:tcMar>
            <w:vAlign w:val="center"/>
          </w:tcPr>
          <w:p>
            <w:pPr>
              <w:jc w:val="left"/>
            </w:pPr>
            <w:r>
              <w:rPr>
                <w:b w:val="false"/>
                <w:bCs w:val="false"/>
                <w:color w:val="000000"/>
                <w:sz w:val="18"/>
                <w:szCs w:val="18"/>
              </w:rPr>
              <w:t xml:space="preserve">1</w:t>
            </w:r>
          </w:p>
        </w:tc>
        <w:tc>
          <w:tcPr>
            <w:tcW w:type="pct" w:w="20%"/>
            <w:tcMar>
              <w:top w:type="dxa" w:w="100"/>
              <w:left w:type="dxa" w:w="100"/>
              <w:bottom w:type="dxa" w:w="100"/>
              <w:right w:type="dxa" w:w="100"/>
            </w:tcMar>
            <w:vAlign w:val="center"/>
          </w:tcPr>
          <w:p>
            <w:pPr>
              <w:jc w:val="left"/>
            </w:pPr>
            <w:r>
              <w:rPr>
                <w:b w:val="false"/>
                <w:bCs w:val="false"/>
                <w:color w:val="000000"/>
                <w:sz w:val="18"/>
                <w:szCs w:val="18"/>
              </w:rPr>
              <w:t xml:space="preserve">Terminal / Broche</w:t>
            </w:r>
          </w:p>
        </w:tc>
        <w:tc>
          <w:tcPr>
            <w:tcW w:type="pct" w:w="30%"/>
            <w:tcMar>
              <w:top w:type="dxa" w:w="100"/>
              <w:left w:type="dxa" w:w="100"/>
              <w:bottom w:type="dxa" w:w="100"/>
              <w:right w:type="dxa" w:w="100"/>
            </w:tcMar>
            <w:vAlign w:val="center"/>
          </w:tcPr>
          <w:p>
            <w:pPr>
              <w:jc w:val="left"/>
            </w:pPr>
            <w:r>
              <w:rPr>
                <w:b w:val="false"/>
                <w:bCs w:val="false"/>
                <w:color w:val="000000"/>
                <w:sz w:val="18"/>
                <w:szCs w:val="18"/>
              </w:rPr>
              <w:t xml:space="preserve">Composant mal inséré (semi-verrouillé)</w:t>
            </w:r>
          </w:p>
        </w:tc>
        <w:tc>
          <w:tcPr>
            <w:tcW w:type="pct" w:w="25%"/>
            <w:tcMar>
              <w:top w:type="dxa" w:w="100"/>
              <w:left w:type="dxa" w:w="100"/>
              <w:bottom w:type="dxa" w:w="100"/>
              <w:right w:type="dxa" w:w="100"/>
            </w:tcMar>
            <w:vAlign w:val="center"/>
          </w:tcPr>
          <w:p>
            <w:pPr>
              <w:jc w:val="left"/>
            </w:pPr>
            <w:r>
              <w:rPr>
                <w:b w:val="false"/>
                <w:bCs w:val="false"/>
                <w:color w:val="000000"/>
                <w:sz w:val="18"/>
                <w:szCs w:val="18"/>
              </w:rPr>
              <w:t xml:space="preserve">composant_mal_insere</w:t>
            </w:r>
          </w:p>
        </w:tc>
        <w:tc>
          <w:tcPr>
            <w:tcW w:type="pct" w:w="10%"/>
            <w:tcMar>
              <w:top w:type="dxa" w:w="100"/>
              <w:left w:type="dxa" w:w="100"/>
              <w:bottom w:type="dxa" w:w="100"/>
              <w:right w:type="dxa" w:w="100"/>
            </w:tcMar>
            <w:vAlign w:val="center"/>
          </w:tcPr>
          <w:p>
            <w:pPr>
              <w:jc w:val="left"/>
            </w:pPr>
            <w:r>
              <w:rPr>
                <w:b w:val="false"/>
                <w:bCs w:val="false"/>
                <w:color w:val="000000"/>
                <w:sz w:val="18"/>
                <w:szCs w:val="18"/>
              </w:rPr>
              <w:t xml:space="preserve">P</w:t>
            </w:r>
          </w:p>
        </w:tc>
        <w:tc>
          <w:tcPr>
            <w:tcW w:type="pct" w:w="10%"/>
            <w:tcMar>
              <w:top w:type="dxa" w:w="100"/>
              <w:left w:type="dxa" w:w="100"/>
              <w:bottom w:type="dxa" w:w="100"/>
              <w:right w:type="dxa" w:w="100"/>
            </w:tcMar>
            <w:vAlign w:val="center"/>
          </w:tcPr>
          <w:p>
            <w:pPr>
              <w:jc w:val="left"/>
            </w:pPr>
            <w:r>
              <w:rPr>
                <w:b w:val="false"/>
                <w:bCs w:val="false"/>
                <w:color w:val="000000"/>
                <w:sz w:val="18"/>
                <w:szCs w:val="18"/>
              </w:rPr>
              <w:t xml:space="preserve">Critique</w:t>
            </w:r>
          </w:p>
        </w:tc>
      </w:tr>
      <w:tr>
        <w:trPr>
          <w:tblHeader w:val="false"/>
        </w:trPr>
        <w:tc>
          <w:tcPr>
            <w:tcW w:type="pct" w:w="5%"/>
            <w:tcMar>
              <w:top w:type="dxa" w:w="100"/>
              <w:left w:type="dxa" w:w="100"/>
              <w:bottom w:type="dxa" w:w="100"/>
              <w:right w:type="dxa" w:w="100"/>
            </w:tcMar>
            <w:vAlign w:val="center"/>
          </w:tcPr>
          <w:p>
            <w:pPr>
              <w:jc w:val="left"/>
            </w:pPr>
            <w:r>
              <w:rPr>
                <w:b w:val="false"/>
                <w:bCs w:val="false"/>
                <w:color w:val="000000"/>
                <w:sz w:val="18"/>
                <w:szCs w:val="18"/>
              </w:rPr>
              <w:t xml:space="preserve">2</w:t>
            </w:r>
          </w:p>
        </w:tc>
        <w:tc>
          <w:tcPr>
            <w:tcW w:type="pct" w:w="20%"/>
            <w:tcMar>
              <w:top w:type="dxa" w:w="100"/>
              <w:left w:type="dxa" w:w="100"/>
              <w:bottom w:type="dxa" w:w="100"/>
              <w:right w:type="dxa" w:w="100"/>
            </w:tcMar>
            <w:vAlign w:val="center"/>
          </w:tcPr>
          <w:p>
            <w:pPr>
              <w:jc w:val="left"/>
            </w:pPr>
            <w:r>
              <w:rPr>
                <w:b w:val="false"/>
                <w:bCs w:val="false"/>
                <w:color w:val="000000"/>
                <w:sz w:val="18"/>
                <w:szCs w:val="18"/>
              </w:rPr>
              <w:t xml:space="preserve">Connecteur</w:t>
            </w:r>
          </w:p>
        </w:tc>
        <w:tc>
          <w:tcPr>
            <w:tcW w:type="pct" w:w="30%"/>
            <w:tcMar>
              <w:top w:type="dxa" w:w="100"/>
              <w:left w:type="dxa" w:w="100"/>
              <w:bottom w:type="dxa" w:w="100"/>
              <w:right w:type="dxa" w:w="100"/>
            </w:tcMar>
            <w:vAlign w:val="center"/>
          </w:tcPr>
          <w:p>
            <w:pPr>
              <w:jc w:val="left"/>
            </w:pPr>
            <w:r>
              <w:rPr>
                <w:b w:val="false"/>
                <w:bCs w:val="false"/>
                <w:color w:val="000000"/>
                <w:sz w:val="18"/>
                <w:szCs w:val="18"/>
              </w:rPr>
              <w:t xml:space="preserve">Cavité vide (fil manquant dans le boîtier)</w:t>
            </w:r>
          </w:p>
        </w:tc>
        <w:tc>
          <w:tcPr>
            <w:tcW w:type="pct" w:w="25%"/>
            <w:tcMar>
              <w:top w:type="dxa" w:w="100"/>
              <w:left w:type="dxa" w:w="100"/>
              <w:bottom w:type="dxa" w:w="100"/>
              <w:right w:type="dxa" w:w="100"/>
            </w:tcMar>
            <w:vAlign w:val="center"/>
          </w:tcPr>
          <w:p>
            <w:pPr>
              <w:jc w:val="left"/>
            </w:pPr>
            <w:r>
              <w:rPr>
                <w:b w:val="false"/>
                <w:bCs w:val="false"/>
                <w:color w:val="000000"/>
                <w:sz w:val="18"/>
                <w:szCs w:val="18"/>
              </w:rPr>
              <w:t xml:space="preserve">composant_manquant</w:t>
            </w:r>
          </w:p>
        </w:tc>
        <w:tc>
          <w:tcPr>
            <w:tcW w:type="pct" w:w="10%"/>
            <w:tcMar>
              <w:top w:type="dxa" w:w="100"/>
              <w:left w:type="dxa" w:w="100"/>
              <w:bottom w:type="dxa" w:w="100"/>
              <w:right w:type="dxa" w:w="100"/>
            </w:tcMar>
            <w:vAlign w:val="center"/>
          </w:tcPr>
          <w:p>
            <w:pPr>
              <w:jc w:val="left"/>
            </w:pPr>
            <w:r>
              <w:rPr>
                <w:b w:val="false"/>
                <w:bCs w:val="false"/>
                <w:color w:val="000000"/>
                <w:sz w:val="18"/>
                <w:szCs w:val="18"/>
              </w:rPr>
              <w:t xml:space="preserve">P</w:t>
            </w:r>
          </w:p>
        </w:tc>
        <w:tc>
          <w:tcPr>
            <w:tcW w:type="pct" w:w="10%"/>
            <w:tcMar>
              <w:top w:type="dxa" w:w="100"/>
              <w:left w:type="dxa" w:w="100"/>
              <w:bottom w:type="dxa" w:w="100"/>
              <w:right w:type="dxa" w:w="100"/>
            </w:tcMar>
            <w:vAlign w:val="center"/>
          </w:tcPr>
          <w:p>
            <w:pPr>
              <w:jc w:val="left"/>
            </w:pPr>
            <w:r>
              <w:rPr>
                <w:b w:val="false"/>
                <w:bCs w:val="false"/>
                <w:color w:val="000000"/>
                <w:sz w:val="18"/>
                <w:szCs w:val="18"/>
              </w:rPr>
              <w:t xml:space="preserve">Critique</w:t>
            </w:r>
          </w:p>
        </w:tc>
      </w:tr>
      <w:tr>
        <w:trPr>
          <w:tblHeader w:val="false"/>
        </w:trPr>
        <w:tc>
          <w:tcPr>
            <w:tcW w:type="pct" w:w="5%"/>
            <w:tcMar>
              <w:top w:type="dxa" w:w="100"/>
              <w:left w:type="dxa" w:w="100"/>
              <w:bottom w:type="dxa" w:w="100"/>
              <w:right w:type="dxa" w:w="100"/>
            </w:tcMar>
            <w:vAlign w:val="center"/>
          </w:tcPr>
          <w:p>
            <w:pPr>
              <w:jc w:val="left"/>
            </w:pPr>
            <w:r>
              <w:rPr>
                <w:b w:val="false"/>
                <w:bCs w:val="false"/>
                <w:color w:val="000000"/>
                <w:sz w:val="18"/>
                <w:szCs w:val="18"/>
              </w:rPr>
              <w:t xml:space="preserve">3</w:t>
            </w:r>
          </w:p>
        </w:tc>
        <w:tc>
          <w:tcPr>
            <w:tcW w:type="pct" w:w="20%"/>
            <w:tcMar>
              <w:top w:type="dxa" w:w="100"/>
              <w:left w:type="dxa" w:w="100"/>
              <w:bottom w:type="dxa" w:w="100"/>
              <w:right w:type="dxa" w:w="100"/>
            </w:tcMar>
            <w:vAlign w:val="center"/>
          </w:tcPr>
          <w:p>
            <w:pPr>
              <w:jc w:val="left"/>
            </w:pPr>
            <w:r>
              <w:rPr>
                <w:b w:val="false"/>
                <w:bCs w:val="false"/>
                <w:color w:val="000000"/>
                <w:sz w:val="18"/>
                <w:szCs w:val="18"/>
              </w:rPr>
              <w:t xml:space="preserve">Connecteur</w:t>
            </w:r>
          </w:p>
        </w:tc>
        <w:tc>
          <w:tcPr>
            <w:tcW w:type="pct" w:w="30%"/>
            <w:tcMar>
              <w:top w:type="dxa" w:w="100"/>
              <w:left w:type="dxa" w:w="100"/>
              <w:bottom w:type="dxa" w:w="100"/>
              <w:right w:type="dxa" w:w="100"/>
            </w:tcMar>
            <w:vAlign w:val="center"/>
          </w:tcPr>
          <w:p>
            <w:pPr>
              <w:jc w:val="left"/>
            </w:pPr>
            <w:r>
              <w:rPr>
                <w:b w:val="false"/>
                <w:bCs w:val="false"/>
                <w:color w:val="000000"/>
                <w:sz w:val="18"/>
                <w:szCs w:val="18"/>
              </w:rPr>
              <w:t xml:space="preserve">Boîtier plastique fissuré ou clip cassé</w:t>
            </w:r>
          </w:p>
        </w:tc>
        <w:tc>
          <w:tcPr>
            <w:tcW w:type="pct" w:w="25%"/>
            <w:tcMar>
              <w:top w:type="dxa" w:w="100"/>
              <w:left w:type="dxa" w:w="100"/>
              <w:bottom w:type="dxa" w:w="100"/>
              <w:right w:type="dxa" w:w="100"/>
            </w:tcMar>
            <w:vAlign w:val="center"/>
          </w:tcPr>
          <w:p>
            <w:pPr>
              <w:jc w:val="left"/>
            </w:pPr>
            <w:r>
              <w:rPr>
                <w:b w:val="false"/>
                <w:bCs w:val="false"/>
                <w:color w:val="000000"/>
                <w:sz w:val="18"/>
                <w:szCs w:val="18"/>
              </w:rPr>
              <w:t xml:space="preserve">connecteur_anomalie</w:t>
            </w:r>
          </w:p>
        </w:tc>
        <w:tc>
          <w:tcPr>
            <w:tcW w:type="pct" w:w="10%"/>
            <w:tcMar>
              <w:top w:type="dxa" w:w="100"/>
              <w:left w:type="dxa" w:w="100"/>
              <w:bottom w:type="dxa" w:w="100"/>
              <w:right w:type="dxa" w:w="100"/>
            </w:tcMar>
            <w:vAlign w:val="center"/>
          </w:tcPr>
          <w:p>
            <w:pPr>
              <w:jc w:val="left"/>
            </w:pPr>
            <w:r>
              <w:rPr>
                <w:b w:val="false"/>
                <w:bCs w:val="false"/>
                <w:color w:val="000000"/>
                <w:sz w:val="18"/>
                <w:szCs w:val="18"/>
              </w:rPr>
              <w:t xml:space="preserve">J</w:t>
            </w:r>
          </w:p>
        </w:tc>
        <w:tc>
          <w:tcPr>
            <w:tcW w:type="pct" w:w="10%"/>
            <w:tcMar>
              <w:top w:type="dxa" w:w="100"/>
              <w:left w:type="dxa" w:w="100"/>
              <w:bottom w:type="dxa" w:w="100"/>
              <w:right w:type="dxa" w:w="100"/>
            </w:tcMar>
            <w:vAlign w:val="center"/>
          </w:tcPr>
          <w:p>
            <w:pPr>
              <w:jc w:val="left"/>
            </w:pPr>
            <w:r>
              <w:rPr>
                <w:b w:val="false"/>
                <w:bCs w:val="false"/>
                <w:color w:val="000000"/>
                <w:sz w:val="18"/>
                <w:szCs w:val="18"/>
              </w:rPr>
              <w:t xml:space="preserve">Critique</w:t>
            </w:r>
          </w:p>
        </w:tc>
      </w:tr>
      <w:tr>
        <w:trPr>
          <w:tblHeader w:val="false"/>
        </w:trPr>
        <w:tc>
          <w:tcPr>
            <w:tcW w:type="pct" w:w="5%"/>
            <w:tcMar>
              <w:top w:type="dxa" w:w="100"/>
              <w:left w:type="dxa" w:w="100"/>
              <w:bottom w:type="dxa" w:w="100"/>
              <w:right w:type="dxa" w:w="100"/>
            </w:tcMar>
            <w:vAlign w:val="center"/>
          </w:tcPr>
          <w:p>
            <w:pPr>
              <w:jc w:val="left"/>
            </w:pPr>
            <w:r>
              <w:rPr>
                <w:b w:val="false"/>
                <w:bCs w:val="false"/>
                <w:color w:val="000000"/>
                <w:sz w:val="18"/>
                <w:szCs w:val="18"/>
              </w:rPr>
              <w:t xml:space="preserve">4</w:t>
            </w:r>
          </w:p>
        </w:tc>
        <w:tc>
          <w:tcPr>
            <w:tcW w:type="pct" w:w="20%"/>
            <w:tcMar>
              <w:top w:type="dxa" w:w="100"/>
              <w:left w:type="dxa" w:w="100"/>
              <w:bottom w:type="dxa" w:w="100"/>
              <w:right w:type="dxa" w:w="100"/>
            </w:tcMar>
            <w:vAlign w:val="center"/>
          </w:tcPr>
          <w:p>
            <w:pPr>
              <w:jc w:val="left"/>
            </w:pPr>
            <w:r>
              <w:rPr>
                <w:b w:val="false"/>
                <w:bCs w:val="false"/>
                <w:color w:val="000000"/>
                <w:sz w:val="18"/>
                <w:szCs w:val="18"/>
              </w:rPr>
              <w:t xml:space="preserve">Cosse métallique</w:t>
            </w:r>
          </w:p>
        </w:tc>
        <w:tc>
          <w:tcPr>
            <w:tcW w:type="pct" w:w="30%"/>
            <w:tcMar>
              <w:top w:type="dxa" w:w="100"/>
              <w:left w:type="dxa" w:w="100"/>
              <w:bottom w:type="dxa" w:w="100"/>
              <w:right w:type="dxa" w:w="100"/>
            </w:tcMar>
            <w:vAlign w:val="center"/>
          </w:tcPr>
          <w:p>
            <w:pPr>
              <w:jc w:val="left"/>
            </w:pPr>
            <w:r>
              <w:rPr>
                <w:b w:val="false"/>
                <w:bCs w:val="false"/>
                <w:color w:val="000000"/>
                <w:sz w:val="18"/>
                <w:szCs w:val="18"/>
              </w:rPr>
              <w:t xml:space="preserve">Cosse pliée, tordue ou mal sertie</w:t>
            </w:r>
          </w:p>
        </w:tc>
        <w:tc>
          <w:tcPr>
            <w:tcW w:type="pct" w:w="25%"/>
            <w:tcMar>
              <w:top w:type="dxa" w:w="100"/>
              <w:left w:type="dxa" w:w="100"/>
              <w:bottom w:type="dxa" w:w="100"/>
              <w:right w:type="dxa" w:w="100"/>
            </w:tcMar>
            <w:vAlign w:val="center"/>
          </w:tcPr>
          <w:p>
            <w:pPr>
              <w:jc w:val="left"/>
            </w:pPr>
            <w:r>
              <w:rPr>
                <w:b w:val="false"/>
                <w:bCs w:val="false"/>
                <w:color w:val="000000"/>
                <w:sz w:val="18"/>
                <w:szCs w:val="18"/>
              </w:rPr>
              <w:t xml:space="preserve">cosse_anomalie</w:t>
            </w:r>
          </w:p>
        </w:tc>
        <w:tc>
          <w:tcPr>
            <w:tcW w:type="pct" w:w="10%"/>
            <w:tcMar>
              <w:top w:type="dxa" w:w="100"/>
              <w:left w:type="dxa" w:w="100"/>
              <w:bottom w:type="dxa" w:w="100"/>
              <w:right w:type="dxa" w:w="100"/>
            </w:tcMar>
            <w:vAlign w:val="center"/>
          </w:tcPr>
          <w:p>
            <w:pPr>
              <w:jc w:val="left"/>
            </w:pPr>
            <w:r>
              <w:rPr>
                <w:b w:val="false"/>
                <w:bCs w:val="false"/>
                <w:color w:val="000000"/>
                <w:sz w:val="18"/>
                <w:szCs w:val="18"/>
              </w:rPr>
              <w:t xml:space="preserve">A</w:t>
            </w:r>
          </w:p>
        </w:tc>
        <w:tc>
          <w:tcPr>
            <w:tcW w:type="pct" w:w="10%"/>
            <w:tcMar>
              <w:top w:type="dxa" w:w="100"/>
              <w:left w:type="dxa" w:w="100"/>
              <w:bottom w:type="dxa" w:w="100"/>
              <w:right w:type="dxa" w:w="100"/>
            </w:tcMar>
            <w:vAlign w:val="center"/>
          </w:tcPr>
          <w:p>
            <w:pPr>
              <w:jc w:val="left"/>
            </w:pPr>
            <w:r>
              <w:rPr>
                <w:b w:val="false"/>
                <w:bCs w:val="false"/>
                <w:color w:val="000000"/>
                <w:sz w:val="18"/>
                <w:szCs w:val="18"/>
              </w:rPr>
              <w:t xml:space="preserve">Majeur</w:t>
            </w:r>
          </w:p>
        </w:tc>
      </w:tr>
      <w:tr>
        <w:trPr>
          <w:tblHeader w:val="false"/>
        </w:trPr>
        <w:tc>
          <w:tcPr>
            <w:tcW w:type="pct" w:w="5%"/>
            <w:tcMar>
              <w:top w:type="dxa" w:w="100"/>
              <w:left w:type="dxa" w:w="100"/>
              <w:bottom w:type="dxa" w:w="100"/>
              <w:right w:type="dxa" w:w="100"/>
            </w:tcMar>
            <w:vAlign w:val="center"/>
          </w:tcPr>
          <w:p>
            <w:pPr>
              <w:jc w:val="left"/>
            </w:pPr>
            <w:r>
              <w:rPr>
                <w:b w:val="false"/>
                <w:bCs w:val="false"/>
                <w:color w:val="000000"/>
                <w:sz w:val="18"/>
                <w:szCs w:val="18"/>
              </w:rPr>
              <w:t xml:space="preserve">5</w:t>
            </w:r>
          </w:p>
        </w:tc>
        <w:tc>
          <w:tcPr>
            <w:tcW w:type="pct" w:w="20%"/>
            <w:tcMar>
              <w:top w:type="dxa" w:w="100"/>
              <w:left w:type="dxa" w:w="100"/>
              <w:bottom w:type="dxa" w:w="100"/>
              <w:right w:type="dxa" w:w="100"/>
            </w:tcMar>
            <w:vAlign w:val="center"/>
          </w:tcPr>
          <w:p>
            <w:pPr>
              <w:jc w:val="left"/>
            </w:pPr>
            <w:r>
              <w:rPr>
                <w:b w:val="false"/>
                <w:bCs w:val="false"/>
                <w:color w:val="000000"/>
                <w:sz w:val="18"/>
                <w:szCs w:val="18"/>
              </w:rPr>
              <w:t xml:space="preserve">Gaine / Protection</w:t>
            </w:r>
          </w:p>
        </w:tc>
        <w:tc>
          <w:tcPr>
            <w:tcW w:type="pct" w:w="30%"/>
            <w:tcMar>
              <w:top w:type="dxa" w:w="100"/>
              <w:left w:type="dxa" w:w="100"/>
              <w:bottom w:type="dxa" w:w="100"/>
              <w:right w:type="dxa" w:w="100"/>
            </w:tcMar>
            <w:vAlign w:val="center"/>
          </w:tcPr>
          <w:p>
            <w:pPr>
              <w:jc w:val="left"/>
            </w:pPr>
            <w:r>
              <w:rPr>
                <w:b w:val="false"/>
                <w:bCs w:val="false"/>
                <w:color w:val="000000"/>
                <w:sz w:val="18"/>
                <w:szCs w:val="18"/>
              </w:rPr>
              <w:t xml:space="preserve">Tube annelé déchiré ou décalé</w:t>
            </w:r>
          </w:p>
        </w:tc>
        <w:tc>
          <w:tcPr>
            <w:tcW w:type="pct" w:w="25%"/>
            <w:tcMar>
              <w:top w:type="dxa" w:w="100"/>
              <w:left w:type="dxa" w:w="100"/>
              <w:bottom w:type="dxa" w:w="100"/>
              <w:right w:type="dxa" w:w="100"/>
            </w:tcMar>
            <w:vAlign w:val="center"/>
          </w:tcPr>
          <w:p>
            <w:pPr>
              <w:jc w:val="left"/>
            </w:pPr>
            <w:r>
              <w:rPr>
                <w:b w:val="false"/>
                <w:bCs w:val="false"/>
                <w:color w:val="000000"/>
                <w:sz w:val="18"/>
                <w:szCs w:val="18"/>
              </w:rPr>
              <w:t xml:space="preserve">protection_anomalie</w:t>
            </w:r>
          </w:p>
        </w:tc>
        <w:tc>
          <w:tcPr>
            <w:tcW w:type="pct" w:w="10%"/>
            <w:tcMar>
              <w:top w:type="dxa" w:w="100"/>
              <w:left w:type="dxa" w:w="100"/>
              <w:bottom w:type="dxa" w:w="100"/>
              <w:right w:type="dxa" w:w="100"/>
            </w:tcMar>
            <w:vAlign w:val="center"/>
          </w:tcPr>
          <w:p>
            <w:pPr>
              <w:jc w:val="left"/>
            </w:pPr>
            <w:r>
              <w:rPr>
                <w:b w:val="false"/>
                <w:bCs w:val="false"/>
                <w:color w:val="000000"/>
                <w:sz w:val="18"/>
                <w:szCs w:val="18"/>
              </w:rPr>
              <w:t xml:space="preserve">M</w:t>
            </w:r>
          </w:p>
        </w:tc>
        <w:tc>
          <w:tcPr>
            <w:tcW w:type="pct" w:w="10%"/>
            <w:tcMar>
              <w:top w:type="dxa" w:w="100"/>
              <w:left w:type="dxa" w:w="100"/>
              <w:bottom w:type="dxa" w:w="100"/>
              <w:right w:type="dxa" w:w="100"/>
            </w:tcMar>
            <w:vAlign w:val="center"/>
          </w:tcPr>
          <w:p>
            <w:pPr>
              <w:jc w:val="left"/>
            </w:pPr>
            <w:r>
              <w:rPr>
                <w:b w:val="false"/>
                <w:bCs w:val="false"/>
                <w:color w:val="000000"/>
                <w:sz w:val="18"/>
                <w:szCs w:val="18"/>
              </w:rPr>
              <w:t xml:space="preserve">Majeur</w:t>
            </w:r>
          </w:p>
        </w:tc>
      </w:tr>
      <w:tr>
        <w:trPr>
          <w:tblHeader w:val="false"/>
        </w:trPr>
        <w:tc>
          <w:tcPr>
            <w:tcW w:type="pct" w:w="5%"/>
            <w:tcMar>
              <w:top w:type="dxa" w:w="100"/>
              <w:left w:type="dxa" w:w="100"/>
              <w:bottom w:type="dxa" w:w="100"/>
              <w:right w:type="dxa" w:w="100"/>
            </w:tcMar>
            <w:vAlign w:val="center"/>
          </w:tcPr>
          <w:p>
            <w:pPr>
              <w:jc w:val="left"/>
            </w:pPr>
            <w:r>
              <w:rPr>
                <w:b w:val="false"/>
                <w:bCs w:val="false"/>
                <w:color w:val="000000"/>
                <w:sz w:val="18"/>
                <w:szCs w:val="18"/>
              </w:rPr>
              <w:t xml:space="preserve">6</w:t>
            </w:r>
          </w:p>
        </w:tc>
        <w:tc>
          <w:tcPr>
            <w:tcW w:type="pct" w:w="20%"/>
            <w:tcMar>
              <w:top w:type="dxa" w:w="100"/>
              <w:left w:type="dxa" w:w="100"/>
              <w:bottom w:type="dxa" w:w="100"/>
              <w:right w:type="dxa" w:w="100"/>
            </w:tcMar>
            <w:vAlign w:val="center"/>
          </w:tcPr>
          <w:p>
            <w:pPr>
              <w:jc w:val="left"/>
            </w:pPr>
            <w:r>
              <w:rPr>
                <w:b w:val="false"/>
                <w:bCs w:val="false"/>
                <w:color w:val="000000"/>
                <w:sz w:val="18"/>
                <w:szCs w:val="18"/>
              </w:rPr>
              <w:t xml:space="preserve">Ruban adhésif (Scotch)</w:t>
            </w:r>
          </w:p>
        </w:tc>
        <w:tc>
          <w:tcPr>
            <w:tcW w:type="pct" w:w="30%"/>
            <w:tcMar>
              <w:top w:type="dxa" w:w="100"/>
              <w:left w:type="dxa" w:w="100"/>
              <w:bottom w:type="dxa" w:w="100"/>
              <w:right w:type="dxa" w:w="100"/>
            </w:tcMar>
            <w:vAlign w:val="center"/>
          </w:tcPr>
          <w:p>
            <w:pPr>
              <w:jc w:val="left"/>
            </w:pPr>
            <w:r>
              <w:rPr>
                <w:b w:val="false"/>
                <w:bCs w:val="false"/>
                <w:color w:val="000000"/>
                <w:sz w:val="18"/>
                <w:szCs w:val="18"/>
              </w:rPr>
              <w:t xml:space="preserve">Ruban décollé, mal enroulé ou effiloché</w:t>
            </w:r>
          </w:p>
        </w:tc>
        <w:tc>
          <w:tcPr>
            <w:tcW w:type="pct" w:w="25%"/>
            <w:tcMar>
              <w:top w:type="dxa" w:w="100"/>
              <w:left w:type="dxa" w:w="100"/>
              <w:bottom w:type="dxa" w:w="100"/>
              <w:right w:type="dxa" w:w="100"/>
            </w:tcMar>
            <w:vAlign w:val="center"/>
          </w:tcPr>
          <w:p>
            <w:pPr>
              <w:jc w:val="left"/>
            </w:pPr>
            <w:r>
              <w:rPr>
                <w:b w:val="false"/>
                <w:bCs w:val="false"/>
                <w:color w:val="000000"/>
                <w:sz w:val="18"/>
                <w:szCs w:val="18"/>
              </w:rPr>
              <w:t xml:space="preserve">scotche_anomalie</w:t>
            </w:r>
          </w:p>
        </w:tc>
        <w:tc>
          <w:tcPr>
            <w:tcW w:type="pct" w:w="10%"/>
            <w:tcMar>
              <w:top w:type="dxa" w:w="100"/>
              <w:left w:type="dxa" w:w="100"/>
              <w:bottom w:type="dxa" w:w="100"/>
              <w:right w:type="dxa" w:w="100"/>
            </w:tcMar>
            <w:vAlign w:val="center"/>
          </w:tcPr>
          <w:p>
            <w:pPr>
              <w:jc w:val="left"/>
            </w:pPr>
            <w:r>
              <w:rPr>
                <w:b w:val="false"/>
                <w:bCs w:val="false"/>
                <w:color w:val="000000"/>
                <w:sz w:val="18"/>
                <w:szCs w:val="18"/>
              </w:rPr>
              <w:t xml:space="preserve">S</w:t>
            </w:r>
          </w:p>
        </w:tc>
        <w:tc>
          <w:tcPr>
            <w:tcW w:type="pct" w:w="10%"/>
            <w:tcMar>
              <w:top w:type="dxa" w:w="100"/>
              <w:left w:type="dxa" w:w="100"/>
              <w:bottom w:type="dxa" w:w="100"/>
              <w:right w:type="dxa" w:w="100"/>
            </w:tcMar>
            <w:vAlign w:val="center"/>
          </w:tcPr>
          <w:p>
            <w:pPr>
              <w:jc w:val="left"/>
            </w:pPr>
            <w:r>
              <w:rPr>
                <w:b w:val="false"/>
                <w:bCs w:val="false"/>
                <w:color w:val="000000"/>
                <w:sz w:val="18"/>
                <w:szCs w:val="18"/>
              </w:rPr>
              <w:t xml:space="preserve">Mineur</w:t>
            </w:r>
          </w:p>
        </w:tc>
      </w:tr>
      <w:tr>
        <w:trPr>
          <w:tblHeader w:val="false"/>
        </w:trPr>
        <w:tc>
          <w:tcPr>
            <w:tcW w:type="pct" w:w="5%"/>
            <w:tcMar>
              <w:top w:type="dxa" w:w="100"/>
              <w:left w:type="dxa" w:w="100"/>
              <w:bottom w:type="dxa" w:w="100"/>
              <w:right w:type="dxa" w:w="100"/>
            </w:tcMar>
            <w:vAlign w:val="center"/>
          </w:tcPr>
          <w:p>
            <w:pPr>
              <w:jc w:val="left"/>
            </w:pPr>
            <w:r>
              <w:rPr>
                <w:b w:val="false"/>
                <w:bCs w:val="false"/>
                <w:color w:val="000000"/>
                <w:sz w:val="18"/>
                <w:szCs w:val="18"/>
              </w:rPr>
              <w:t xml:space="preserve">7</w:t>
            </w:r>
          </w:p>
        </w:tc>
        <w:tc>
          <w:tcPr>
            <w:tcW w:type="pct" w:w="20%"/>
            <w:tcMar>
              <w:top w:type="dxa" w:w="100"/>
              <w:left w:type="dxa" w:w="100"/>
              <w:bottom w:type="dxa" w:w="100"/>
              <w:right w:type="dxa" w:w="100"/>
            </w:tcMar>
            <w:vAlign w:val="center"/>
          </w:tcPr>
          <w:p>
            <w:pPr>
              <w:jc w:val="left"/>
            </w:pPr>
            <w:r>
              <w:rPr>
                <w:b w:val="false"/>
                <w:bCs w:val="false"/>
                <w:color w:val="000000"/>
                <w:sz w:val="18"/>
                <w:szCs w:val="18"/>
              </w:rPr>
              <w:t xml:space="preserve">Étiquette</w:t>
            </w:r>
          </w:p>
        </w:tc>
        <w:tc>
          <w:tcPr>
            <w:tcW w:type="pct" w:w="30%"/>
            <w:tcMar>
              <w:top w:type="dxa" w:w="100"/>
              <w:left w:type="dxa" w:w="100"/>
              <w:bottom w:type="dxa" w:w="100"/>
              <w:right w:type="dxa" w:w="100"/>
            </w:tcMar>
            <w:vAlign w:val="center"/>
          </w:tcPr>
          <w:p>
            <w:pPr>
              <w:jc w:val="left"/>
            </w:pPr>
            <w:r>
              <w:rPr>
                <w:b w:val="false"/>
                <w:bCs w:val="false"/>
                <w:color w:val="000000"/>
                <w:sz w:val="18"/>
                <w:szCs w:val="18"/>
              </w:rPr>
              <w:t xml:space="preserve">Étiquette déchirée, plissée ou absente</w:t>
            </w:r>
          </w:p>
        </w:tc>
        <w:tc>
          <w:tcPr>
            <w:tcW w:type="pct" w:w="25%"/>
            <w:tcMar>
              <w:top w:type="dxa" w:w="100"/>
              <w:left w:type="dxa" w:w="100"/>
              <w:bottom w:type="dxa" w:w="100"/>
              <w:right w:type="dxa" w:w="100"/>
            </w:tcMar>
            <w:vAlign w:val="center"/>
          </w:tcPr>
          <w:p>
            <w:pPr>
              <w:jc w:val="left"/>
            </w:pPr>
            <w:r>
              <w:rPr>
                <w:b w:val="false"/>
                <w:bCs w:val="false"/>
                <w:color w:val="000000"/>
                <w:sz w:val="18"/>
                <w:szCs w:val="18"/>
              </w:rPr>
              <w:t xml:space="preserve">etiquette_anomalie</w:t>
            </w:r>
          </w:p>
        </w:tc>
        <w:tc>
          <w:tcPr>
            <w:tcW w:type="pct" w:w="10%"/>
            <w:tcMar>
              <w:top w:type="dxa" w:w="100"/>
              <w:left w:type="dxa" w:w="100"/>
              <w:bottom w:type="dxa" w:w="100"/>
              <w:right w:type="dxa" w:w="100"/>
            </w:tcMar>
            <w:vAlign w:val="center"/>
          </w:tcPr>
          <w:p>
            <w:pPr>
              <w:jc w:val="left"/>
            </w:pPr>
            <w:r>
              <w:rPr>
                <w:b w:val="false"/>
                <w:bCs w:val="false"/>
                <w:color w:val="000000"/>
                <w:sz w:val="18"/>
                <w:szCs w:val="18"/>
              </w:rPr>
              <w:t xml:space="preserve">V</w:t>
            </w:r>
          </w:p>
        </w:tc>
        <w:tc>
          <w:tcPr>
            <w:tcW w:type="pct" w:w="10%"/>
            <w:tcMar>
              <w:top w:type="dxa" w:w="100"/>
              <w:left w:type="dxa" w:w="100"/>
              <w:bottom w:type="dxa" w:w="100"/>
              <w:right w:type="dxa" w:w="100"/>
            </w:tcMar>
            <w:vAlign w:val="center"/>
          </w:tcPr>
          <w:p>
            <w:pPr>
              <w:jc w:val="left"/>
            </w:pPr>
            <w:r>
              <w:rPr>
                <w:b w:val="false"/>
                <w:bCs w:val="false"/>
                <w:color w:val="000000"/>
                <w:sz w:val="18"/>
                <w:szCs w:val="18"/>
              </w:rPr>
              <w:t xml:space="preserve">Mineur</w:t>
            </w:r>
          </w:p>
        </w:tc>
      </w:tr>
    </w:tbl>
    <w:p>
      <w:pPr>
        <w:pageBreakBefore/>
      </w:pPr>
    </w:p>
    <w:p>
      <w:pPr>
        <w:pStyle w:val="Heading1"/>
        <w:spacing w:before="300" w:after="150"/>
      </w:pPr>
      <w:r>
        <w:rPr>
          <w:b/>
          <w:bCs/>
          <w:color w:val="1a365d"/>
        </w:rPr>
        <w:t xml:space="preserve">3. Fiches de Détails &amp; Consignes de Fabrication</w:t>
      </w:r>
    </w:p>
    <w:p>
      <w:pPr>
        <w:pStyle w:val="Heading2"/>
        <w:spacing w:before="300" w:after="150"/>
      </w:pPr>
      <w:r>
        <w:rPr>
          <w:b/>
          <w:bCs/>
          <w:color w:val="1a365d"/>
        </w:rPr>
        <w:t xml:space="preserve">3.1 Défaut 1 : Composant Mal Inséré</w:t>
      </w:r>
    </w:p>
    <w:p>
      <w:pPr>
        <w:spacing w:after="120"/>
        <w:jc w:val="both"/>
      </w:pPr>
      <w:r>
        <w:rPr>
          <w:b/>
          <w:bCs/>
          <w:color w:val="2b6cb0"/>
          <w:sz w:val="22"/>
          <w:szCs w:val="22"/>
        </w:rPr>
        <w:t xml:space="preserve">• Classe Roboflow : composant_mal_insere  |  Sévérité : Critique  |  Code : P</w:t>
      </w:r>
    </w:p>
    <w:p>
      <w:pPr>
        <w:spacing w:after="120"/>
        <w:jc w:val="both"/>
      </w:pPr>
      <w:r>
        <w:rPr>
          <w:color w:val="000000"/>
          <w:sz w:val="22"/>
          <w:szCs w:val="22"/>
        </w:rPr>
        <w:t xml:space="preserve">• Consigne : Insérer la broche dans le connecteur plastique sans aller jusqu'au "clic" de verrouillage arrière. La broche doit ressortir légèrement de la face arrière du connecteur d'environ 3 à 5 mm, laissant apparaître la partie sertie ou le cuivre.</w:t>
      </w:r>
    </w:p>
    <w:p>
      <w:pPr>
        <w:spacing w:before="100" w:after="2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048000" cy="2286000"/>
                    </a:xfrm>
                    <a:prstGeom prst="rect">
                      <a:avLst/>
                    </a:prstGeom>
                  </pic:spPr>
                </pic:pic>
              </a:graphicData>
            </a:graphic>
          </wp:inline>
        </w:drawing>
      </w:r>
    </w:p>
    <w:p>
      <w:pPr>
        <w:pStyle w:val="Heading2"/>
        <w:spacing w:before="300" w:after="150"/>
      </w:pPr>
      <w:r>
        <w:rPr>
          <w:b/>
          <w:bCs/>
          <w:color w:val="1a365d"/>
        </w:rPr>
        <w:t xml:space="preserve">3.2 Défaut 2 : Composant Manquant (Cavité Vide)</w:t>
      </w:r>
    </w:p>
    <w:p>
      <w:pPr>
        <w:spacing w:after="120"/>
        <w:jc w:val="both"/>
      </w:pPr>
      <w:r>
        <w:rPr>
          <w:b/>
          <w:bCs/>
          <w:color w:val="2b6cb0"/>
          <w:sz w:val="22"/>
          <w:szCs w:val="22"/>
        </w:rPr>
        <w:t xml:space="preserve">• Classe Roboflow : composant_manquant  |  Sévérité : Critique  |  Code : P</w:t>
      </w:r>
    </w:p>
    <w:p>
      <w:pPr>
        <w:spacing w:after="120"/>
        <w:jc w:val="both"/>
      </w:pPr>
      <w:r>
        <w:rPr>
          <w:color w:val="000000"/>
          <w:sz w:val="22"/>
          <w:szCs w:val="22"/>
        </w:rPr>
        <w:t xml:space="preserve">• Consigne : Laisser délibérément une des cavités du connecteur (prévue pour être câblée) complètement vide. Aucun fil ni terminal ne doit y être inséré.</w:t>
      </w:r>
    </w:p>
    <w:p>
      <w:pPr>
        <w:spacing w:before="100" w:after="2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048000" cy="2286000"/>
                    </a:xfrm>
                    <a:prstGeom prst="rect">
                      <a:avLst/>
                    </a:prstGeom>
                  </pic:spPr>
                </pic:pic>
              </a:graphicData>
            </a:graphic>
          </wp:inline>
        </w:drawing>
      </w:r>
    </w:p>
    <w:p>
      <w:pPr>
        <w:pStyle w:val="Heading2"/>
        <w:spacing w:before="300" w:after="150"/>
      </w:pPr>
      <w:r>
        <w:rPr>
          <w:b/>
          <w:bCs/>
          <w:color w:val="1a365d"/>
        </w:rPr>
        <w:t xml:space="preserve">3.3 Défaut 3 : Anomalie Connecteur</w:t>
      </w:r>
    </w:p>
    <w:p>
      <w:pPr>
        <w:spacing w:after="120"/>
        <w:jc w:val="both"/>
      </w:pPr>
      <w:r>
        <w:rPr>
          <w:b/>
          <w:bCs/>
          <w:color w:val="2b6cb0"/>
          <w:sz w:val="22"/>
          <w:szCs w:val="22"/>
        </w:rPr>
        <w:t xml:space="preserve">• Classe Roboflow : connecteur_anomalie  |  Sévérité : Critique  |  Code : J</w:t>
      </w:r>
    </w:p>
    <w:p>
      <w:pPr>
        <w:spacing w:after="120"/>
        <w:jc w:val="both"/>
      </w:pPr>
      <w:r>
        <w:rPr>
          <w:color w:val="000000"/>
          <w:sz w:val="22"/>
          <w:szCs w:val="22"/>
        </w:rPr>
        <w:t xml:space="preserve">• Consigne : Utiliser un connecteur rebuté présentant une fissure physique sur le corps plastique, ou couper/casser la languette de verrouillage supérieure (clip de fixation).</w:t>
      </w:r>
    </w:p>
    <w:p>
      <w:pPr>
        <w:spacing w:before="100" w:after="2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2286000"/>
                    </a:xfrm>
                    <a:prstGeom prst="rect">
                      <a:avLst/>
                    </a:prstGeom>
                  </pic:spPr>
                </pic:pic>
              </a:graphicData>
            </a:graphic>
          </wp:inline>
        </w:drawing>
      </w:r>
    </w:p>
    <w:p>
      <w:pPr>
        <w:pStyle w:val="Heading2"/>
        <w:spacing w:before="300" w:after="150"/>
      </w:pPr>
      <w:r>
        <w:rPr>
          <w:b/>
          <w:bCs/>
          <w:color w:val="1a365d"/>
        </w:rPr>
        <w:t xml:space="preserve">3.4 Défaut 4 : Anomalie Cosse</w:t>
      </w:r>
    </w:p>
    <w:p>
      <w:pPr>
        <w:spacing w:after="120"/>
        <w:jc w:val="both"/>
      </w:pPr>
      <w:r>
        <w:rPr>
          <w:b/>
          <w:bCs/>
          <w:color w:val="2b6cb0"/>
          <w:sz w:val="22"/>
          <w:szCs w:val="22"/>
        </w:rPr>
        <w:t xml:space="preserve">• Classe Roboflow : cosse_anomalie  |  Sévérité : Majeur  |  Code : A</w:t>
      </w:r>
    </w:p>
    <w:p>
      <w:pPr>
        <w:spacing w:after="120"/>
        <w:jc w:val="both"/>
      </w:pPr>
      <w:r>
        <w:rPr>
          <w:color w:val="000000"/>
          <w:sz w:val="22"/>
          <w:szCs w:val="22"/>
        </w:rPr>
        <w:t xml:space="preserve">• Consigne : Réaliser un sertissage non conforme en pliant la cosse métallique à un angle d'environ 45° ou 90°, ou laisser des brins de cuivre dépasser de manière désordonnée en dehors du fût de sertissage.</w:t>
      </w:r>
    </w:p>
    <w:p>
      <w:pPr>
        <w:spacing w:before="100" w:after="2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048000" cy="2286000"/>
                    </a:xfrm>
                    <a:prstGeom prst="rect">
                      <a:avLst/>
                    </a:prstGeom>
                  </pic:spPr>
                </pic:pic>
              </a:graphicData>
            </a:graphic>
          </wp:inline>
        </w:drawing>
      </w:r>
    </w:p>
    <w:p>
      <w:pPr>
        <w:pageBreakBefore/>
      </w:pPr>
    </w:p>
    <w:p>
      <w:pPr>
        <w:pStyle w:val="Heading2"/>
        <w:spacing w:before="300" w:after="150"/>
      </w:pPr>
      <w:r>
        <w:rPr>
          <w:b/>
          <w:bCs/>
          <w:color w:val="1a365d"/>
        </w:rPr>
        <w:t xml:space="preserve">3.5 Défaut 5 : Anomalie Protection</w:t>
      </w:r>
    </w:p>
    <w:p>
      <w:pPr>
        <w:spacing w:after="120"/>
        <w:jc w:val="both"/>
      </w:pPr>
      <w:r>
        <w:rPr>
          <w:b/>
          <w:bCs/>
          <w:color w:val="2b6cb0"/>
          <w:sz w:val="22"/>
          <w:szCs w:val="22"/>
        </w:rPr>
        <w:t xml:space="preserve">• Classe Roboflow : protection_anomalie  |  Sévérité : Majeur  |  Code : M</w:t>
      </w:r>
    </w:p>
    <w:p>
      <w:pPr>
        <w:spacing w:after="120"/>
        <w:jc w:val="both"/>
      </w:pPr>
      <w:r>
        <w:rPr>
          <w:color w:val="000000"/>
          <w:sz w:val="22"/>
          <w:szCs w:val="22"/>
        </w:rPr>
        <w:t xml:space="preserve">• Consigne : Créer une entaille ou une déchirure longitudinale d'environ 2 à 3 cm sur le tube annelé, ou laisser un espace vide (zone non protégée) de quelques centimètres exposant les fils de couleur au niveau d'une jonction.</w:t>
      </w:r>
    </w:p>
    <w:p>
      <w:pPr>
        <w:spacing w:before="100" w:after="2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048000" cy="2286000"/>
                    </a:xfrm>
                    <a:prstGeom prst="rect">
                      <a:avLst/>
                    </a:prstGeom>
                  </pic:spPr>
                </pic:pic>
              </a:graphicData>
            </a:graphic>
          </wp:inline>
        </w:drawing>
      </w:r>
    </w:p>
    <w:p>
      <w:pPr>
        <w:pStyle w:val="Heading2"/>
        <w:spacing w:before="300" w:after="150"/>
      </w:pPr>
      <w:r>
        <w:rPr>
          <w:b/>
          <w:bCs/>
          <w:color w:val="1a365d"/>
        </w:rPr>
        <w:t xml:space="preserve">3.6 Défaut 6 : Anomalie Scotch</w:t>
      </w:r>
    </w:p>
    <w:p>
      <w:pPr>
        <w:spacing w:after="120"/>
        <w:jc w:val="both"/>
      </w:pPr>
      <w:r>
        <w:rPr>
          <w:b/>
          <w:bCs/>
          <w:color w:val="2b6cb0"/>
          <w:sz w:val="22"/>
          <w:szCs w:val="22"/>
        </w:rPr>
        <w:t xml:space="preserve">• Classe Roboflow : scotche_anomalie  |  Sévérité : Mineur  |  Code : S</w:t>
      </w:r>
    </w:p>
    <w:p>
      <w:pPr>
        <w:spacing w:after="120"/>
        <w:jc w:val="both"/>
      </w:pPr>
      <w:r>
        <w:rPr>
          <w:color w:val="000000"/>
          <w:sz w:val="22"/>
          <w:szCs w:val="22"/>
        </w:rPr>
        <w:t xml:space="preserve">• Consigne : Enrouler le scotch de manière lâche à une extrémité, en laissant les derniers tours se décoller (ruban effiloché) pour simuler un vieillissement ou une mauvaise application manuelle.</w:t>
      </w:r>
    </w:p>
    <w:p>
      <w:pPr>
        <w:spacing w:before="100" w:after="2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048000" cy="2286000"/>
                    </a:xfrm>
                    <a:prstGeom prst="rect">
                      <a:avLst/>
                    </a:prstGeom>
                  </pic:spPr>
                </pic:pic>
              </a:graphicData>
            </a:graphic>
          </wp:inline>
        </w:drawing>
      </w:r>
    </w:p>
    <w:p>
      <w:pPr>
        <w:pStyle w:val="Heading2"/>
        <w:spacing w:before="300" w:after="150"/>
      </w:pPr>
      <w:r>
        <w:rPr>
          <w:b/>
          <w:bCs/>
          <w:color w:val="1a365d"/>
        </w:rPr>
        <w:t xml:space="preserve">3.7 Défaut 7 : Anomalie Étiquette</w:t>
      </w:r>
    </w:p>
    <w:p>
      <w:pPr>
        <w:spacing w:after="120"/>
        <w:jc w:val="both"/>
      </w:pPr>
      <w:r>
        <w:rPr>
          <w:b/>
          <w:bCs/>
          <w:color w:val="2b6cb0"/>
          <w:sz w:val="22"/>
          <w:szCs w:val="22"/>
        </w:rPr>
        <w:t xml:space="preserve">• Classe Roboflow : etiquette_anomalie  |  Sévérité : Mineur  |  Code : V</w:t>
      </w:r>
    </w:p>
    <w:p>
      <w:pPr>
        <w:spacing w:after="120"/>
        <w:jc w:val="both"/>
      </w:pPr>
      <w:r>
        <w:rPr>
          <w:color w:val="000000"/>
          <w:sz w:val="22"/>
          <w:szCs w:val="22"/>
        </w:rPr>
        <w:t xml:space="preserve">• Consigne : Coller une étiquette d'identification qui est partiellement déchirée, pliée sur elle-même (rendant le code-barres illisible), ou collée de travers.</w:t>
      </w:r>
    </w:p>
    <w:p>
      <w:pPr>
        <w:spacing w:before="100" w:after="2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048000" cy="2286000"/>
                    </a:xfrm>
                    <a:prstGeom prst="rect">
                      <a:avLst/>
                    </a:prstGeom>
                  </pic:spPr>
                </pic:pic>
              </a:graphicData>
            </a:graphic>
          </wp:inline>
        </w:drawing>
      </w:r>
    </w:p>
    <w:p>
      <w:pPr>
        <w:pStyle w:val="Heading1"/>
        <w:spacing w:before="300" w:after="150"/>
      </w:pPr>
      <w:r>
        <w:rPr>
          <w:b/>
          <w:bCs/>
          <w:color w:val="1a365d"/>
        </w:rPr>
        <w:t xml:space="preserve">4. Recommandations Techniques pour la Démonstration</w:t>
      </w:r>
    </w:p>
    <w:p>
      <w:pPr>
        <w:spacing w:after="120"/>
        <w:jc w:val="both"/>
      </w:pPr>
      <w:r>
        <w:rPr>
          <w:color w:val="000000"/>
          <w:sz w:val="22"/>
          <w:szCs w:val="22"/>
        </w:rPr>
        <w:t xml:space="preserve">Pour assurer un taux de détection maximal par notre modèle IA lors du test en direct :</w:t>
      </w:r>
    </w:p>
    <w:p>
      <w:pPr>
        <w:spacing w:after="120"/>
        <w:jc w:val="both"/>
      </w:pPr>
      <w:r>
        <w:rPr>
          <w:color w:val="000000"/>
          <w:sz w:val="22"/>
          <w:szCs w:val="22"/>
        </w:rPr>
        <w:t xml:space="preserve">1. Variété des couleurs : Il est préférable que les fils électriques internes soient de couleurs bien distinctes (rouge, bleu, jaune/vert, noir) pour faciliter le contraste.</w:t>
      </w:r>
    </w:p>
    <w:p>
      <w:pPr>
        <w:spacing w:after="120"/>
        <w:jc w:val="both"/>
      </w:pPr>
      <w:r>
        <w:rPr>
          <w:color w:val="000000"/>
          <w:sz w:val="22"/>
          <w:szCs w:val="22"/>
        </w:rPr>
        <w:t xml:space="preserve">2. Marquage clair : Le câble de test doit porter un numéro d'ordre de fabrication fictif (ex: OF-TEST-JURY-2026) imprimé sur une étiquette non défectueuse à l'une de ses extrémités pour l'initialisation sur l'application mobile.</w:t>
      </w:r>
    </w:p>
    <w:p>
      <w:pPr>
        <w:spacing w:after="120"/>
        <w:jc w:val="both"/>
      </w:pPr>
      <w:r>
        <w:rPr>
          <w:color w:val="000000"/>
          <w:sz w:val="22"/>
          <w:szCs w:val="22"/>
        </w:rPr>
        <w:t xml:space="preserve">3. Dimensions standard : Une longueur totale de 50 cm à 1 mètre est idéale pour être facilement manipulable sous la caméra de test.</w:t>
      </w:r>
    </w:p>
    <w:p>
      <w:pPr>
        <w:spacing w:before="600"/>
        <w:jc w:val="center"/>
      </w:pPr>
      <w:r>
        <w:rPr>
          <w:i/>
          <w:iCs/>
          <w:color w:val="2b6cb0"/>
          <w:sz w:val="20"/>
          <w:szCs w:val="20"/>
        </w:rPr>
        <w:t xml:space="preserve">— Fin du Document de Spécification —</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c8220fbeba6c587a285b6a79da131caa1436014.undefined"/><Relationship Id="rId7" Type="http://schemas.openxmlformats.org/officeDocument/2006/relationships/image" Target="media/ef380a919633d294f37395d20c2b5be13d19fe79.undefined"/><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2026-05-25T23:27:37.025Z</dcterms:created>
  <dcterms:modified xsi:type="dcterms:W3CDTF">2026-05-25T23:27:37.026Z</dcterms:modified>
</cp:coreProperties>
</file>

<file path=docProps/custom.xml><?xml version="1.0" encoding="utf-8"?>
<Properties xmlns="http://schemas.openxmlformats.org/officeDocument/2006/custom-properties" xmlns:vt="http://schemas.openxmlformats.org/officeDocument/2006/docPropsVTypes"/>
</file>