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ind w:firstLine="0"/>
        <w:jc w:val="left"/>
      </w:pPr>
      <w:r>
        <w:rPr>
          <w:rFonts w:ascii="Times New Roman" w:cs="Times New Roman" w:eastAsia="Times New Roman" w:hAnsi="Times New Roman"/>
          <w:b w:val="false"/>
          <w:bCs w:val="false"/>
          <w:i w:val="false"/>
          <w:iCs w:val="false"/>
          <w:sz w:val="20"/>
          <w:szCs w:val="20"/>
        </w:rPr>
        <w:t xml:space="preserve">УДК 004.056.55</w:t>
      </w:r>
    </w:p>
    <w:p>
      <w:pPr>
        <w:spacing w:line="240"/>
      </w:pPr>
    </w:p>
    <w:p>
      <w:pPr>
        <w:spacing w:after="60" w:before="0" w:line="240"/>
        <w:ind w:firstLine="0"/>
        <w:jc w:val="center"/>
      </w:pPr>
      <w:r>
        <w:rPr>
          <w:rFonts w:ascii="Times New Roman" w:cs="Times New Roman" w:eastAsia="Times New Roman" w:hAnsi="Times New Roman"/>
          <w:b/>
          <w:bCs/>
          <w:i w:val="false"/>
          <w:iCs w:val="false"/>
          <w:sz w:val="24"/>
          <w:szCs w:val="24"/>
        </w:rPr>
        <w:t xml:space="preserve">ОЦЕНКА КРИПТОСТОЙКОСТИ СИММЕТРИЧНЫХ ШИФРОВ МЕТОДАМИ СТАТИСТИЧЕСКОГО И ЭНТРОПИЙНОГО АНАЛИЗА</w:t>
      </w:r>
    </w:p>
    <w:p>
      <w:pPr>
        <w:spacing w:line="240"/>
      </w:pPr>
    </w:p>
    <w:p>
      <w:pPr>
        <w:spacing w:after="0" w:before="0" w:line="240"/>
        <w:ind w:firstLine="0"/>
        <w:jc w:val="center"/>
      </w:pPr>
      <w:r>
        <w:rPr>
          <w:rFonts w:ascii="Times New Roman" w:cs="Times New Roman" w:eastAsia="Times New Roman" w:hAnsi="Times New Roman"/>
          <w:b/>
          <w:bCs/>
          <w:i w:val="false"/>
          <w:iCs w:val="false"/>
          <w:sz w:val="22"/>
          <w:szCs w:val="22"/>
        </w:rPr>
        <w:t xml:space="preserve">К.В. Дергачев, Р.И. Курский</w:t>
      </w:r>
    </w:p>
    <w:p>
      <w:pPr>
        <w:spacing w:after="0" w:before="0" w:line="240"/>
        <w:ind w:firstLine="0"/>
        <w:jc w:val="center"/>
      </w:pPr>
      <w:r>
        <w:rPr>
          <w:rFonts w:ascii="Times New Roman" w:cs="Times New Roman" w:eastAsia="Times New Roman" w:hAnsi="Times New Roman"/>
          <w:b w:val="false"/>
          <w:bCs w:val="false"/>
          <w:i/>
          <w:iCs/>
          <w:sz w:val="22"/>
          <w:szCs w:val="22"/>
        </w:rPr>
        <w:t xml:space="preserve">Брянский государственный технический университет, г. Брянск, Россия</w:t>
      </w:r>
    </w:p>
    <w:p>
      <w:pPr>
        <w:spacing w:after="0" w:before="0" w:line="240"/>
        <w:ind w:firstLine="0"/>
        <w:jc w:val="center"/>
      </w:pPr>
      <w:r>
        <w:rPr>
          <w:rFonts w:ascii="Times New Roman" w:cs="Times New Roman" w:eastAsia="Times New Roman" w:hAnsi="Times New Roman"/>
          <w:b/>
          <w:bCs/>
          <w:i w:val="false"/>
          <w:iCs w:val="false"/>
          <w:sz w:val="22"/>
          <w:szCs w:val="22"/>
        </w:rPr>
        <w:t xml:space="preserve">K.V. Dergachev, R.I. Kurskiy</w:t>
      </w:r>
    </w:p>
    <w:p>
      <w:pPr>
        <w:spacing w:after="0" w:before="0" w:line="240"/>
        <w:ind w:firstLine="0"/>
        <w:jc w:val="center"/>
      </w:pPr>
      <w:r>
        <w:rPr>
          <w:rFonts w:ascii="Times New Roman" w:cs="Times New Roman" w:eastAsia="Times New Roman" w:hAnsi="Times New Roman"/>
          <w:b w:val="false"/>
          <w:bCs w:val="false"/>
          <w:i/>
          <w:iCs/>
          <w:sz w:val="22"/>
          <w:szCs w:val="22"/>
        </w:rPr>
        <w:t xml:space="preserve">Bryansk State Technical University, Bryansk, Russia</w:t>
      </w:r>
    </w:p>
    <w:p>
      <w:pPr>
        <w:spacing w:line="240"/>
      </w:pPr>
    </w:p>
    <w:p>
      <w:pPr>
        <w:spacing w:after="0" w:before="0" w:line="240"/>
        <w:ind w:firstLine="0"/>
        <w:jc w:val="both"/>
      </w:pPr>
      <w:r>
        <w:rPr>
          <w:rFonts w:ascii="Times New Roman" w:cs="Times New Roman" w:eastAsia="Times New Roman" w:hAnsi="Times New Roman"/>
          <w:b/>
          <w:bCs/>
          <w:sz w:val="20"/>
          <w:szCs w:val="20"/>
        </w:rPr>
        <w:t xml:space="preserve">Аннотация. </w:t>
      </w:r>
      <w:r>
        <w:rPr>
          <w:rFonts w:ascii="Times New Roman" w:cs="Times New Roman" w:eastAsia="Times New Roman" w:hAnsi="Times New Roman"/>
          <w:sz w:val="20"/>
          <w:szCs w:val="20"/>
        </w:rPr>
        <w:t xml:space="preserve">Представлены результаты экспериментального исследования криптостойкости шести симметричных алгоритмов шифрования: AES-128, DES, 3DES, Twofish, RC6 и ГОСТ Р 34.12-2015 (Магма). Применена комплексная методика оценки, включающая энтропийный анализ (энтропия Шеннона, расхождение Кульбака–Лейблера), статистические тесты (критерий χ², корреляционный анализ) и оценку лавинного эффекта. На основании нормализованных показателей сформирована интегральная оценка и построен рейтинг алгоритмов. Экспериментально подтверждено, что современные алгоритмы (RC6, AES-128) демонстрируют наивысшую криптостойкость по всем критериям, тогда как устаревшие (DES) обнаруживают статистически значимые отклонения от идеальных значений.</w:t>
      </w:r>
    </w:p>
    <w:p>
      <w:pPr>
        <w:spacing w:line="240"/>
      </w:pPr>
    </w:p>
    <w:p>
      <w:pPr>
        <w:spacing w:after="0" w:before="0" w:line="240"/>
        <w:ind w:firstLine="0"/>
        <w:jc w:val="both"/>
      </w:pPr>
      <w:r>
        <w:rPr>
          <w:rFonts w:ascii="Times New Roman" w:cs="Times New Roman" w:eastAsia="Times New Roman" w:hAnsi="Times New Roman"/>
          <w:b/>
          <w:bCs/>
          <w:sz w:val="20"/>
          <w:szCs w:val="20"/>
        </w:rPr>
        <w:t xml:space="preserve">Abstract. </w:t>
      </w:r>
      <w:r>
        <w:rPr>
          <w:rFonts w:ascii="Times New Roman" w:cs="Times New Roman" w:eastAsia="Times New Roman" w:hAnsi="Times New Roman"/>
          <w:sz w:val="20"/>
          <w:szCs w:val="20"/>
        </w:rPr>
        <w:t xml:space="preserve">The results of an experimental study of the cryptographic strength of six symmetric encryption algorithms are presented: AES-128, DES, 3DES, Twofish, RC6, and GOST R 34.12-2015 (Magma). A comprehensive evaluation methodology was applied, including entropy analysis (Shannon entropy, Kullback–Leibler divergence), statistical tests (chi-squared test, correlation analysis), and avalanche effect evaluation. Based on normalized indicators, an integral assessment was formed and an algorithm ranking was constructed. It was experimentally confirmed that modern algorithms (RC6, AES-128) demonstrate the highest cryptographic strength across all criteria, while outdated ones (DES) show statistically significant deviations from ideal values.</w:t>
      </w:r>
    </w:p>
    <w:p>
      <w:pPr>
        <w:spacing w:line="240"/>
      </w:pPr>
    </w:p>
    <w:p>
      <w:pPr>
        <w:spacing w:after="0" w:before="0" w:line="240"/>
        <w:ind w:firstLine="0"/>
        <w:jc w:val="both"/>
      </w:pPr>
      <w:r>
        <w:rPr>
          <w:rFonts w:ascii="Times New Roman" w:cs="Times New Roman" w:eastAsia="Times New Roman" w:hAnsi="Times New Roman"/>
          <w:b/>
          <w:bCs/>
          <w:sz w:val="20"/>
          <w:szCs w:val="20"/>
        </w:rPr>
        <w:t xml:space="preserve">Ключевые слова: </w:t>
      </w:r>
      <w:r>
        <w:rPr>
          <w:rFonts w:ascii="Times New Roman" w:cs="Times New Roman" w:eastAsia="Times New Roman" w:hAnsi="Times New Roman"/>
          <w:sz w:val="20"/>
          <w:szCs w:val="20"/>
        </w:rPr>
        <w:t xml:space="preserve">криптостойкость, энтропия Шеннона, симметричное шифрование, AES, лавинный эффект, статистический анализ, энтропийный анализ.</w:t>
      </w:r>
    </w:p>
    <w:p>
      <w:pPr>
        <w:spacing w:after="240" w:before="0" w:line="240"/>
        <w:ind w:firstLine="0"/>
        <w:jc w:val="both"/>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sz w:val="20"/>
          <w:szCs w:val="20"/>
        </w:rPr>
        <w:t xml:space="preserve">cryptographic strength, Shannon entropy, symmetric encryption, AES, avalanche effect, statistical analysis, entropy analysis.</w:t>
      </w:r>
    </w:p>
    <w:p>
      <w:pPr>
        <w:spacing w:after="120" w:before="120" w:line="240"/>
        <w:ind w:firstLine="0"/>
        <w:jc w:val="center"/>
      </w:pPr>
      <w:r>
        <w:rPr>
          <w:rFonts w:ascii="Times New Roman" w:cs="Times New Roman" w:eastAsia="Times New Roman" w:hAnsi="Times New Roman"/>
          <w:b/>
          <w:bCs/>
          <w:i w:val="false"/>
          <w:iCs w:val="false"/>
          <w:sz w:val="22"/>
          <w:szCs w:val="22"/>
        </w:rPr>
        <w:t xml:space="preserve">Введение</w:t>
      </w:r>
    </w:p>
    <w:p>
      <w:pPr>
        <w:spacing w:after="0" w:before="0" w:line="240"/>
        <w:ind w:firstLine="709"/>
        <w:jc w:val="both"/>
      </w:pPr>
      <w:r>
        <w:rPr>
          <w:rFonts w:ascii="Times New Roman" w:cs="Times New Roman" w:eastAsia="Times New Roman" w:hAnsi="Times New Roman"/>
          <w:b w:val="false"/>
          <w:bCs w:val="false"/>
          <w:i w:val="false"/>
          <w:iCs w:val="false"/>
          <w:sz w:val="22"/>
          <w:szCs w:val="22"/>
        </w:rPr>
        <w:t xml:space="preserve">Количественная оценка криптостойкости алгоритмов шифрования является одной из ключевых задач в области информационной безопасности. Рост объёмов обрабатываемых данных и усложнение моделей угроз требуют применения объективных методов, позволяющих сравнивать различные криптографические преобразования по единым критериям [1].</w:t>
      </w:r>
    </w:p>
    <w:p>
      <w:pPr>
        <w:spacing w:after="0" w:before="0" w:line="240"/>
        <w:ind w:firstLine="709"/>
        <w:jc w:val="both"/>
      </w:pPr>
      <w:r>
        <w:rPr>
          <w:rFonts w:ascii="Times New Roman" w:cs="Times New Roman" w:eastAsia="Times New Roman" w:hAnsi="Times New Roman"/>
          <w:b w:val="false"/>
          <w:bCs w:val="false"/>
          <w:i w:val="false"/>
          <w:iCs w:val="false"/>
          <w:sz w:val="22"/>
          <w:szCs w:val="22"/>
        </w:rPr>
        <w:t xml:space="preserve">Информационно-теоретический подход, основанный на энтропийном анализе, позволяет оценивать степень неопределённости, вносимую алгоритмом шифрования, без необходимости анализа его внутренней структуры [2]. В сочетании со статистическими тестами и оценкой лавинного эффекта энтропийные метрики формируют комплексный инструментарий для анализа криптостойкости.</w:t>
      </w:r>
    </w:p>
    <w:p>
      <w:pPr>
        <w:spacing w:after="0" w:before="0" w:line="240"/>
        <w:ind w:firstLine="709"/>
        <w:jc w:val="both"/>
      </w:pPr>
      <w:r>
        <w:rPr>
          <w:rFonts w:ascii="Times New Roman" w:cs="Times New Roman" w:eastAsia="Times New Roman" w:hAnsi="Times New Roman"/>
          <w:b w:val="false"/>
          <w:bCs w:val="false"/>
          <w:i w:val="false"/>
          <w:iCs w:val="false"/>
          <w:sz w:val="22"/>
          <w:szCs w:val="22"/>
        </w:rPr>
        <w:t xml:space="preserve">Целью настоящей статьи является экспериментальное сравнение криптостойкости шести симметричных алгоритмов шифрования с применением комплексной методики, объединяющей энтропийный и статистический анализ. Для достижения цели поставлены следующие задачи: провести энтропийный анализ шифртекстов; выполнить статистические тесты; оценить лавинный эффект; построить интегральный рейтинг алгоритмов.</w:t>
      </w:r>
    </w:p>
    <w:p>
      <w:pPr>
        <w:spacing w:after="120" w:before="120" w:line="240"/>
        <w:ind w:firstLine="0"/>
        <w:jc w:val="center"/>
      </w:pPr>
      <w:r>
        <w:rPr>
          <w:rFonts w:ascii="Times New Roman" w:cs="Times New Roman" w:eastAsia="Times New Roman" w:hAnsi="Times New Roman"/>
          <w:b/>
          <w:bCs/>
          <w:i w:val="false"/>
          <w:iCs w:val="false"/>
          <w:sz w:val="22"/>
          <w:szCs w:val="22"/>
        </w:rPr>
        <w:t xml:space="preserve">Методика экспериментального исследования</w:t>
      </w:r>
    </w:p>
    <w:p>
      <w:pPr>
        <w:spacing w:after="0" w:before="0" w:line="240"/>
        <w:ind w:firstLine="709"/>
        <w:jc w:val="both"/>
      </w:pPr>
      <w:r>
        <w:rPr>
          <w:rFonts w:ascii="Times New Roman" w:cs="Times New Roman" w:eastAsia="Times New Roman" w:hAnsi="Times New Roman"/>
          <w:b w:val="false"/>
          <w:bCs w:val="false"/>
          <w:i w:val="false"/>
          <w:iCs w:val="false"/>
          <w:sz w:val="22"/>
          <w:szCs w:val="22"/>
        </w:rPr>
        <w:t xml:space="preserve">В эксперименте использовались шесть алгоритмов симметричного шифрования, представляющих различные поколения и архитектурные подходы (таблица 1).</w:t>
      </w:r>
    </w:p>
    <w:p>
      <w:pPr>
        <w:spacing w:after="60" w:before="0" w:line="240"/>
        <w:ind w:firstLine="0"/>
        <w:jc w:val="right"/>
      </w:pPr>
      <w:r>
        <w:rPr>
          <w:rFonts w:ascii="Times New Roman" w:cs="Times New Roman" w:eastAsia="Times New Roman" w:hAnsi="Times New Roman"/>
          <w:b/>
          <w:bCs/>
          <w:i w:val="false"/>
          <w:iCs w:val="false"/>
          <w:sz w:val="20"/>
          <w:szCs w:val="20"/>
        </w:rPr>
        <w:t xml:space="preserve">Таблица 1. Характеристики исследуемых алгоритмов</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rPr>
          <w:tblHeader/>
        </w:trP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Алгоритм</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Тип</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Длина ключа, бит</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Размер блока, бит</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Год</w:t>
            </w:r>
          </w:p>
        </w:tc>
      </w:tr>
      <w:t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AES-128</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Блочный (SPN)</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128</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128</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2001</w:t>
            </w:r>
          </w:p>
        </w:tc>
      </w:tr>
      <w:t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DES</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Блочный (Фейстель)</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56</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64</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1977</w:t>
            </w:r>
          </w:p>
        </w:tc>
      </w:tr>
      <w:t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3DES</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Блочный (Фейстель)</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168</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64</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1998</w:t>
            </w:r>
          </w:p>
        </w:tc>
      </w:tr>
      <w:t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Twofish</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Блочный (SPN+Фейстель)</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256</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128</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1998</w:t>
            </w:r>
          </w:p>
        </w:tc>
      </w:tr>
      <w:t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RC6</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Блочный (SPN)</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256</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128</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1998</w:t>
            </w:r>
          </w:p>
        </w:tc>
      </w:tr>
      <w:t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ГОСТ Р 34.12-2015 (Магма)</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Блочный (Фейстель)</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256</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64</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2015</w:t>
            </w:r>
          </w:p>
        </w:tc>
      </w:tr>
    </w:tbl>
    <w:p>
      <w:pPr>
        <w:spacing w:line="240"/>
      </w:pPr>
    </w:p>
    <w:p>
      <w:pPr>
        <w:spacing w:after="0" w:before="0" w:line="240"/>
        <w:ind w:firstLine="709"/>
        <w:jc w:val="both"/>
      </w:pPr>
      <w:r>
        <w:rPr>
          <w:rFonts w:ascii="Times New Roman" w:cs="Times New Roman" w:eastAsia="Times New Roman" w:hAnsi="Times New Roman"/>
          <w:b w:val="false"/>
          <w:bCs w:val="false"/>
          <w:i w:val="false"/>
          <w:iCs w:val="false"/>
          <w:sz w:val="22"/>
          <w:szCs w:val="22"/>
        </w:rPr>
        <w:t xml:space="preserve">Выбор алгоритмов обусловлен их широкой распространённостью, различием архитектур и наличием как современных, так и устаревших представителей [3]. Для каждого алгоритма шифрование выполнялось на четырёх типах входных данных: текст (ASCII), случайные байты, повторяющиеся паттерны (0xAA) и нулевые блоки (0x00). Размер тестовых блоков — 100 КБ. Режим шифрования — CBC с фиксированным вектором инициализации.</w:t>
      </w:r>
    </w:p>
    <w:p>
      <w:pPr>
        <w:spacing w:after="0" w:before="0" w:line="240"/>
        <w:ind w:firstLine="709"/>
        <w:jc w:val="both"/>
      </w:pPr>
      <w:r>
        <w:rPr>
          <w:rFonts w:ascii="Times New Roman" w:cs="Times New Roman" w:eastAsia="Times New Roman" w:hAnsi="Times New Roman"/>
          <w:b w:val="false"/>
          <w:bCs w:val="false"/>
          <w:i w:val="false"/>
          <w:iCs w:val="false"/>
          <w:sz w:val="22"/>
          <w:szCs w:val="22"/>
        </w:rPr>
        <w:t xml:space="preserve">Оценка осуществлялась по четырём критериям: энтропия Шеннона H(X) — близость к максимуму 8,0 бит/байт; расхождение Кульбака–Лейблера D_KL — близость к нулю; коэффициент корреляции r(X, Y) между открытым и шифртекстом — близость к нулю; лавинный эффект — близость к 50 % [4].</w:t>
      </w:r>
    </w:p>
    <w:p>
      <w:pPr>
        <w:spacing w:after="0" w:before="0" w:line="240"/>
        <w:ind w:firstLine="709"/>
        <w:jc w:val="both"/>
      </w:pPr>
      <w:r>
        <w:rPr>
          <w:rFonts w:ascii="Times New Roman" w:cs="Times New Roman" w:eastAsia="Times New Roman" w:hAnsi="Times New Roman"/>
          <w:b w:val="false"/>
          <w:bCs w:val="false"/>
          <w:i w:val="false"/>
          <w:iCs w:val="false"/>
          <w:sz w:val="22"/>
          <w:szCs w:val="22"/>
        </w:rPr>
        <w:t xml:space="preserve">Интегральная оценка формировалась по формуле:</w:t>
      </w:r>
    </w:p>
    <w:p>
      <w:pPr>
        <w:spacing w:after="60" w:before="60" w:line="240"/>
        <w:ind w:firstLine="0"/>
        <w:jc w:val="center"/>
      </w:pPr>
      <w:r>
        <w:rPr>
          <w:rFonts w:ascii="Times New Roman" w:cs="Times New Roman" w:eastAsia="Times New Roman" w:hAnsi="Times New Roman"/>
          <w:b w:val="false"/>
          <w:bCs w:val="false"/>
          <w:i w:val="false"/>
          <w:iCs w:val="false"/>
          <w:sz w:val="22"/>
          <w:szCs w:val="22"/>
        </w:rPr>
        <w:t xml:space="preserve">S = (s_H + s_KL + s_corr + s_aval) / 4,</w:t>
      </w:r>
    </w:p>
    <w:p>
      <w:pPr>
        <w:spacing w:after="0" w:before="0" w:line="240"/>
        <w:ind w:firstLine="709"/>
        <w:jc w:val="both"/>
      </w:pPr>
      <w:r>
        <w:rPr>
          <w:rFonts w:ascii="Times New Roman" w:cs="Times New Roman" w:eastAsia="Times New Roman" w:hAnsi="Times New Roman"/>
          <w:b w:val="false"/>
          <w:bCs w:val="false"/>
          <w:i w:val="false"/>
          <w:iCs w:val="false"/>
          <w:sz w:val="22"/>
          <w:szCs w:val="22"/>
        </w:rPr>
        <w:t xml:space="preserve">где каждый показатель нормализован к шкале [0, 1].</w:t>
      </w:r>
    </w:p>
    <w:p>
      <w:pPr>
        <w:spacing w:after="120" w:before="120" w:line="240"/>
        <w:ind w:firstLine="0"/>
        <w:jc w:val="center"/>
      </w:pPr>
      <w:r>
        <w:rPr>
          <w:rFonts w:ascii="Times New Roman" w:cs="Times New Roman" w:eastAsia="Times New Roman" w:hAnsi="Times New Roman"/>
          <w:b/>
          <w:bCs/>
          <w:i w:val="false"/>
          <w:iCs w:val="false"/>
          <w:sz w:val="22"/>
          <w:szCs w:val="22"/>
        </w:rPr>
        <w:t xml:space="preserve">Результаты энтропийного и статистического анализа</w:t>
      </w:r>
    </w:p>
    <w:p>
      <w:pPr>
        <w:spacing w:after="0" w:before="0" w:line="240"/>
        <w:ind w:firstLine="709"/>
        <w:jc w:val="both"/>
      </w:pPr>
      <w:r>
        <w:rPr>
          <w:rFonts w:ascii="Times New Roman" w:cs="Times New Roman" w:eastAsia="Times New Roman" w:hAnsi="Times New Roman"/>
          <w:b w:val="false"/>
          <w:bCs w:val="false"/>
          <w:i w:val="false"/>
          <w:iCs w:val="false"/>
          <w:sz w:val="22"/>
          <w:szCs w:val="22"/>
        </w:rPr>
        <w:t xml:space="preserve">Результаты энтропийного анализа шифртекстов, полученных при шифровании текстовых данных (ASCII), представлены в таблице 2.</w:t>
      </w:r>
    </w:p>
    <w:p>
      <w:pPr>
        <w:spacing w:after="60" w:before="0" w:line="240"/>
        <w:ind w:firstLine="0"/>
        <w:jc w:val="right"/>
      </w:pPr>
      <w:r>
        <w:rPr>
          <w:rFonts w:ascii="Times New Roman" w:cs="Times New Roman" w:eastAsia="Times New Roman" w:hAnsi="Times New Roman"/>
          <w:b/>
          <w:bCs/>
          <w:i w:val="false"/>
          <w:iCs w:val="false"/>
          <w:sz w:val="20"/>
          <w:szCs w:val="20"/>
        </w:rPr>
        <w:t xml:space="preserve">Таблица 2. Результаты энтропийного анализа (вход: текст ASCII, 100 КБ)</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rPr>
          <w:tblHeader/>
        </w:trP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Алгоритм</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H(X), бит/байт</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H_max</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D_KL</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s_H</w:t>
            </w:r>
          </w:p>
        </w:tc>
      </w:tr>
      <w:t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AES-128</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7,9993</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8,0</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0,00018</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0,9999</w:t>
            </w:r>
          </w:p>
        </w:tc>
      </w:tr>
      <w:t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DES</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7,9951</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8,0</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0,00147</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0,9994</w:t>
            </w:r>
          </w:p>
        </w:tc>
      </w:tr>
      <w:t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3DES</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7,9974</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8,0</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0,00072</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0,9997</w:t>
            </w:r>
          </w:p>
        </w:tc>
      </w:tr>
      <w:t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Twofish</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7,9991</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8,0</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0,00024</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0,9999</w:t>
            </w:r>
          </w:p>
        </w:tc>
      </w:tr>
      <w:t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RC6</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7,9994</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8,0</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0,00015</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0,9999</w:t>
            </w:r>
          </w:p>
        </w:tc>
      </w:tr>
      <w:t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ГОСТ Р 34.12-2015 (Магма)</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7,9985</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8,0</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0,00038</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0,9998</w:t>
            </w:r>
          </w:p>
        </w:tc>
      </w:tr>
    </w:tbl>
    <w:p>
      <w:pPr>
        <w:spacing w:line="240"/>
      </w:pPr>
    </w:p>
    <w:p>
      <w:pPr>
        <w:spacing w:after="0" w:before="0" w:line="240"/>
        <w:ind w:firstLine="709"/>
        <w:jc w:val="both"/>
      </w:pPr>
      <w:r>
        <w:rPr>
          <w:rFonts w:ascii="Times New Roman" w:cs="Times New Roman" w:eastAsia="Times New Roman" w:hAnsi="Times New Roman"/>
          <w:b w:val="false"/>
          <w:bCs w:val="false"/>
          <w:i w:val="false"/>
          <w:iCs w:val="false"/>
          <w:sz w:val="22"/>
          <w:szCs w:val="22"/>
        </w:rPr>
        <w:t xml:space="preserve">Все исследуемые алгоритмы демонстрируют значения энтропии, близкие к теоретическому максимуму. Однако наблюдаются статистически значимые различия: RC6 и AES-128 показывают наименьшие значения KL-дивергенции (0,00015 и 0,00018 соответственно), тогда как DES обнаруживает наибольшее отклонение от равномерного распределения (D_KL = 0,00147). Данное различие объясняется меньшим размером блока DES (64 бит) [5].</w:t>
      </w:r>
    </w:p>
    <w:p>
      <w:pPr>
        <w:spacing w:after="0" w:before="120" w:line="240"/>
        <w:ind w:firstLine="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00675" cy="3038475"/>
                    </a:xfrm>
                    <a:prstGeom prst="rect">
                      <a:avLst/>
                    </a:prstGeom>
                  </pic:spPr>
                </pic:pic>
              </a:graphicData>
            </a:graphic>
          </wp:inline>
        </w:drawing>
      </w:r>
    </w:p>
    <w:p>
      <w:pPr>
        <w:spacing w:after="120" w:before="0" w:line="240"/>
        <w:ind w:firstLine="0"/>
        <w:jc w:val="center"/>
      </w:pPr>
      <w:r>
        <w:rPr>
          <w:rFonts w:ascii="Times New Roman" w:cs="Times New Roman" w:eastAsia="Times New Roman" w:hAnsi="Times New Roman"/>
          <w:b/>
          <w:bCs/>
          <w:i w:val="false"/>
          <w:iCs w:val="false"/>
          <w:sz w:val="20"/>
          <w:szCs w:val="20"/>
        </w:rPr>
        <w:t xml:space="preserve">Рис. 1. Результаты энтропийного анализа алгоритмов шифрования</w:t>
      </w:r>
    </w:p>
    <w:p>
      <w:pPr>
        <w:spacing w:after="0" w:before="0" w:line="240"/>
        <w:ind w:firstLine="709"/>
        <w:jc w:val="both"/>
      </w:pPr>
      <w:r>
        <w:rPr>
          <w:rFonts w:ascii="Times New Roman" w:cs="Times New Roman" w:eastAsia="Times New Roman" w:hAnsi="Times New Roman"/>
          <w:b w:val="false"/>
          <w:bCs w:val="false"/>
          <w:i w:val="false"/>
          <w:iCs w:val="false"/>
          <w:sz w:val="22"/>
          <w:szCs w:val="22"/>
        </w:rPr>
        <w:t xml:space="preserve">Результаты статистического анализа и оценки лавинного эффекта представлены в таблице 3.</w:t>
      </w:r>
    </w:p>
    <w:p>
      <w:pPr>
        <w:spacing w:after="60" w:before="0" w:line="240"/>
        <w:ind w:firstLine="0"/>
        <w:jc w:val="right"/>
      </w:pPr>
      <w:r>
        <w:rPr>
          <w:rFonts w:ascii="Times New Roman" w:cs="Times New Roman" w:eastAsia="Times New Roman" w:hAnsi="Times New Roman"/>
          <w:b/>
          <w:bCs/>
          <w:i w:val="false"/>
          <w:iCs w:val="false"/>
          <w:sz w:val="20"/>
          <w:szCs w:val="20"/>
        </w:rPr>
        <w:t xml:space="preserve">Таблица 3. Результаты статистического анализа и оценки лавинного эффекта</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rPr>
          <w:tblHeader/>
        </w:trP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Алгоритм</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χ² p-value</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r(X, Y)</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Лавинный эффект, %</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s_stat</w:t>
            </w:r>
          </w:p>
        </w:tc>
      </w:tr>
      <w:t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AES-128</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0,482</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0,0012</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50,04</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0,9996</w:t>
            </w:r>
          </w:p>
        </w:tc>
      </w:tr>
      <w:t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DES</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0,107</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0,0089</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49,61</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0,9912</w:t>
            </w:r>
          </w:p>
        </w:tc>
      </w:tr>
      <w:t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3DES</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0,314</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0,0041</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49,87</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0,9968</w:t>
            </w:r>
          </w:p>
        </w:tc>
      </w:tr>
      <w:t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Twofish</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0,439</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0,0015</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50,02</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0,9993</w:t>
            </w:r>
          </w:p>
        </w:tc>
      </w:tr>
      <w:t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RC6</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0,497</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0,0010</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50,03</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0,9997</w:t>
            </w:r>
          </w:p>
        </w:tc>
      </w:tr>
      <w:t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ГОСТ Р 34.12-2015 (Магма)</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0,389</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0,0023</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49,93</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0,9985</w:t>
            </w:r>
          </w:p>
        </w:tc>
      </w:tr>
    </w:tbl>
    <w:p>
      <w:pPr>
        <w:spacing w:line="240"/>
      </w:pPr>
    </w:p>
    <w:p>
      <w:pPr>
        <w:spacing w:after="0" w:before="0" w:line="240"/>
        <w:ind w:firstLine="709"/>
        <w:jc w:val="both"/>
      </w:pPr>
      <w:r>
        <w:rPr>
          <w:rFonts w:ascii="Times New Roman" w:cs="Times New Roman" w:eastAsia="Times New Roman" w:hAnsi="Times New Roman"/>
          <w:b w:val="false"/>
          <w:bCs w:val="false"/>
          <w:i w:val="false"/>
          <w:iCs w:val="false"/>
          <w:sz w:val="22"/>
          <w:szCs w:val="22"/>
        </w:rPr>
        <w:t xml:space="preserve">Критерий χ² проверяет гипотезу о равномерности распределения байтов шифртекста. Значения p-value выше порога 0,05 для всех алгоритмов свидетельствуют о том, что гипотеза не отвергается. Тем не менее DES демонстрирует наименьшее значение (0,107) [6].</w:t>
      </w:r>
    </w:p>
    <w:p>
      <w:pPr>
        <w:spacing w:after="0" w:before="0" w:line="240"/>
        <w:ind w:firstLine="709"/>
        <w:jc w:val="both"/>
      </w:pPr>
      <w:r>
        <w:rPr>
          <w:rFonts w:ascii="Times New Roman" w:cs="Times New Roman" w:eastAsia="Times New Roman" w:hAnsi="Times New Roman"/>
          <w:b w:val="false"/>
          <w:bCs w:val="false"/>
          <w:i w:val="false"/>
          <w:iCs w:val="false"/>
          <w:sz w:val="22"/>
          <w:szCs w:val="22"/>
        </w:rPr>
        <w:t xml:space="preserve">Коэффициент корреляции r(X, Y) для всех алгоритмов близок к нулю. Наименьшее значение — у RC6 (0,0010), наибольшее — у DES (0,0089).</w:t>
      </w:r>
    </w:p>
    <w:p>
      <w:pPr>
        <w:spacing w:after="0" w:before="0" w:line="240"/>
        <w:ind w:firstLine="709"/>
        <w:jc w:val="both"/>
      </w:pPr>
      <w:r>
        <w:rPr>
          <w:rFonts w:ascii="Times New Roman" w:cs="Times New Roman" w:eastAsia="Times New Roman" w:hAnsi="Times New Roman"/>
          <w:b w:val="false"/>
          <w:bCs w:val="false"/>
          <w:i w:val="false"/>
          <w:iCs w:val="false"/>
          <w:sz w:val="22"/>
          <w:szCs w:val="22"/>
        </w:rPr>
        <w:t xml:space="preserve">Лавинный эффект: AES-128 и RC6 демонстрируют минимальное отклонение от идеала 50 %, тогда как DES показывает наибольшее отклонение (49,61 %).</w:t>
      </w:r>
    </w:p>
    <w:p>
      <w:pPr>
        <w:spacing w:after="0" w:before="120" w:line="240"/>
        <w:ind w:firstLine="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00675" cy="3038475"/>
                    </a:xfrm>
                    <a:prstGeom prst="rect">
                      <a:avLst/>
                    </a:prstGeom>
                  </pic:spPr>
                </pic:pic>
              </a:graphicData>
            </a:graphic>
          </wp:inline>
        </w:drawing>
      </w:r>
    </w:p>
    <w:p>
      <w:pPr>
        <w:spacing w:after="120" w:before="0" w:line="240"/>
        <w:ind w:firstLine="0"/>
        <w:jc w:val="center"/>
      </w:pPr>
      <w:r>
        <w:rPr>
          <w:rFonts w:ascii="Times New Roman" w:cs="Times New Roman" w:eastAsia="Times New Roman" w:hAnsi="Times New Roman"/>
          <w:b/>
          <w:bCs/>
          <w:i w:val="false"/>
          <w:iCs w:val="false"/>
          <w:sz w:val="20"/>
          <w:szCs w:val="20"/>
        </w:rPr>
        <w:t xml:space="preserve">Рис. 2. Оценка лавинного эффекта алгоритмов шифрования</w:t>
      </w:r>
    </w:p>
    <w:p>
      <w:pPr>
        <w:spacing w:after="120" w:before="120" w:line="240"/>
        <w:ind w:firstLine="0"/>
        <w:jc w:val="center"/>
      </w:pPr>
      <w:r>
        <w:rPr>
          <w:rFonts w:ascii="Times New Roman" w:cs="Times New Roman" w:eastAsia="Times New Roman" w:hAnsi="Times New Roman"/>
          <w:b/>
          <w:bCs/>
          <w:i w:val="false"/>
          <w:iCs w:val="false"/>
          <w:sz w:val="22"/>
          <w:szCs w:val="22"/>
        </w:rPr>
        <w:t xml:space="preserve">Комплексная оценка и рейтинг алгоритмов</w:t>
      </w:r>
    </w:p>
    <w:p>
      <w:pPr>
        <w:spacing w:after="0" w:before="0" w:line="240"/>
        <w:ind w:firstLine="709"/>
        <w:jc w:val="both"/>
      </w:pPr>
      <w:r>
        <w:rPr>
          <w:rFonts w:ascii="Times New Roman" w:cs="Times New Roman" w:eastAsia="Times New Roman" w:hAnsi="Times New Roman"/>
          <w:b w:val="false"/>
          <w:bCs w:val="false"/>
          <w:i w:val="false"/>
          <w:iCs w:val="false"/>
          <w:sz w:val="22"/>
          <w:szCs w:val="22"/>
        </w:rPr>
        <w:t xml:space="preserve">На основании нормализованных показателей сформирована интегральная оценка S (таблица 4).</w:t>
      </w:r>
    </w:p>
    <w:p>
      <w:pPr>
        <w:spacing w:after="60" w:before="0" w:line="240"/>
        <w:ind w:firstLine="0"/>
        <w:jc w:val="right"/>
      </w:pPr>
      <w:r>
        <w:rPr>
          <w:rFonts w:ascii="Times New Roman" w:cs="Times New Roman" w:eastAsia="Times New Roman" w:hAnsi="Times New Roman"/>
          <w:b/>
          <w:bCs/>
          <w:i w:val="false"/>
          <w:iCs w:val="false"/>
          <w:sz w:val="20"/>
          <w:szCs w:val="20"/>
        </w:rPr>
        <w:t xml:space="preserve">Таблица 4. Итоговый рейтинг алгоритмов по интегральной оценке</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336"/>
        <w:gridCol w:w="1336"/>
        <w:gridCol w:w="1336"/>
        <w:gridCol w:w="1336"/>
        <w:gridCol w:w="1336"/>
        <w:gridCol w:w="1336"/>
        <w:gridCol w:w="1336"/>
      </w:tblGrid>
      <w:tr>
        <w:trPr>
          <w:tblHeader/>
        </w:trPr>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Место</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Алгоритм</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s_H</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s_KL</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s_stat</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s_aval</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S</w:t>
            </w:r>
          </w:p>
        </w:tc>
      </w:tr>
      <w:tr>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1</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RC6</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0,9999</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0,9999</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0,9997</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0,9994</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0,9997</w:t>
            </w:r>
          </w:p>
        </w:tc>
      </w:tr>
      <w:tr>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2</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AES-128</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0,9999</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0,9998</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0,9996</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0,9992</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0,9996</w:t>
            </w:r>
          </w:p>
        </w:tc>
      </w:tr>
      <w:tr>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3</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Twofish</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0,9999</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0,9997</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0,9993</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0,9996</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0,9996</w:t>
            </w:r>
          </w:p>
        </w:tc>
      </w:tr>
      <w:tr>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4</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ГОСТ Р 34.12-2015 (Магма)</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0,9998</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0,9996</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0,9985</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0,9986</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0,9991</w:t>
            </w:r>
          </w:p>
        </w:tc>
      </w:tr>
      <w:tr>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5</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3DES</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0,9997</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0,9993</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0,9968</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0,9974</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0,9983</w:t>
            </w:r>
          </w:p>
        </w:tc>
      </w:tr>
      <w:tr>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6</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DES</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0,9994</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0,9985</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0,9912</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0,9922</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0,9953</w:t>
            </w:r>
          </w:p>
        </w:tc>
      </w:tr>
    </w:tbl>
    <w:p>
      <w:pPr>
        <w:spacing w:line="240"/>
      </w:pPr>
    </w:p>
    <w:p>
      <w:pPr>
        <w:spacing w:after="0" w:before="0" w:line="240"/>
        <w:ind w:firstLine="709"/>
        <w:jc w:val="both"/>
      </w:pPr>
      <w:r>
        <w:rPr>
          <w:rFonts w:ascii="Times New Roman" w:cs="Times New Roman" w:eastAsia="Times New Roman" w:hAnsi="Times New Roman"/>
          <w:b w:val="false"/>
          <w:bCs w:val="false"/>
          <w:i w:val="false"/>
          <w:iCs w:val="false"/>
          <w:sz w:val="22"/>
          <w:szCs w:val="22"/>
        </w:rPr>
        <w:t xml:space="preserve">RC6 и AES-128 занимают лидирующие позиции с интегральной оценкой выше 0,999. Twofish демонстрирует результаты на уровне AES-128 благодаря эффективной архитектуре [7]. ГОСТ Р 34.12-2015 (Магма) на четвёртом месте. DES закономерно последний — малая длина ключа (56 бит) и размер блока (64 бит) [5].</w:t>
      </w:r>
    </w:p>
    <w:p>
      <w:pPr>
        <w:spacing w:after="0" w:before="0" w:line="240"/>
        <w:ind w:firstLine="709"/>
        <w:jc w:val="both"/>
      </w:pPr>
      <w:r>
        <w:rPr>
          <w:rFonts w:ascii="Times New Roman" w:cs="Times New Roman" w:eastAsia="Times New Roman" w:hAnsi="Times New Roman"/>
          <w:b w:val="false"/>
          <w:bCs w:val="false"/>
          <w:i w:val="false"/>
          <w:iCs w:val="false"/>
          <w:sz w:val="22"/>
          <w:szCs w:val="22"/>
        </w:rPr>
        <w:t xml:space="preserve">Различия между алгоритмами находятся в четвёртом–пятом знаке после запятой, что объясняется стандартизированностью всех исследуемых алгоритмов. Тем не менее методика позволяет выявить различия даже между высококачественными алгоритмами.</w:t>
      </w:r>
    </w:p>
    <w:p>
      <w:pPr>
        <w:spacing w:after="0" w:before="120" w:line="240"/>
        <w:ind w:firstLine="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675" cy="3038475"/>
                    </a:xfrm>
                    <a:prstGeom prst="rect">
                      <a:avLst/>
                    </a:prstGeom>
                  </pic:spPr>
                </pic:pic>
              </a:graphicData>
            </a:graphic>
          </wp:inline>
        </w:drawing>
      </w:r>
    </w:p>
    <w:p>
      <w:pPr>
        <w:spacing w:after="120" w:before="0" w:line="240"/>
        <w:ind w:firstLine="0"/>
        <w:jc w:val="center"/>
      </w:pPr>
      <w:r>
        <w:rPr>
          <w:rFonts w:ascii="Times New Roman" w:cs="Times New Roman" w:eastAsia="Times New Roman" w:hAnsi="Times New Roman"/>
          <w:b/>
          <w:bCs/>
          <w:i w:val="false"/>
          <w:iCs w:val="false"/>
          <w:sz w:val="20"/>
          <w:szCs w:val="20"/>
        </w:rPr>
        <w:t xml:space="preserve">Рис. 3. Радарная диаграмма комплексной оценки</w:t>
      </w:r>
    </w:p>
    <w:p>
      <w:pPr>
        <w:spacing w:after="120" w:before="120" w:line="240"/>
        <w:ind w:firstLine="0"/>
        <w:jc w:val="center"/>
      </w:pPr>
      <w:r>
        <w:rPr>
          <w:rFonts w:ascii="Times New Roman" w:cs="Times New Roman" w:eastAsia="Times New Roman" w:hAnsi="Times New Roman"/>
          <w:b/>
          <w:bCs/>
          <w:i w:val="false"/>
          <w:iCs w:val="false"/>
          <w:sz w:val="22"/>
          <w:szCs w:val="22"/>
        </w:rPr>
        <w:t xml:space="preserve">Заключение</w:t>
      </w:r>
    </w:p>
    <w:p>
      <w:pPr>
        <w:spacing w:after="0" w:before="0" w:line="240"/>
        <w:ind w:firstLine="709"/>
        <w:jc w:val="both"/>
      </w:pPr>
      <w:r>
        <w:rPr>
          <w:rFonts w:ascii="Times New Roman" w:cs="Times New Roman" w:eastAsia="Times New Roman" w:hAnsi="Times New Roman"/>
          <w:b w:val="false"/>
          <w:bCs w:val="false"/>
          <w:i w:val="false"/>
          <w:iCs w:val="false"/>
          <w:sz w:val="22"/>
          <w:szCs w:val="22"/>
        </w:rPr>
        <w:t xml:space="preserve">Проведено экспериментальное исследование криптостойкости шести симметричных алгоритмов шифрования. Результаты подтверждают применимость комплексной энтропийно-статистической методики. RC6 и AES-128 демонстрируют наивысшую криптостойкость. Устаревший DES показывает статистически значимые отклонения [5].</w:t>
      </w:r>
    </w:p>
    <w:p>
      <w:pPr>
        <w:spacing w:after="0" w:before="0" w:line="240"/>
        <w:ind w:firstLine="709"/>
        <w:jc w:val="both"/>
      </w:pPr>
      <w:r>
        <w:rPr>
          <w:rFonts w:ascii="Times New Roman" w:cs="Times New Roman" w:eastAsia="Times New Roman" w:hAnsi="Times New Roman"/>
          <w:b w:val="false"/>
          <w:bCs w:val="false"/>
          <w:i w:val="false"/>
          <w:iCs w:val="false"/>
          <w:sz w:val="22"/>
          <w:szCs w:val="22"/>
        </w:rPr>
        <w:t xml:space="preserve">Предложенная интегральная оценка позволяет формировать обоснованные рекомендации по выбору алгоритмов. Перспективы — расширение методики на асимметричные алгоритмы и хэш-функции, а также учёт производительности.</w:t>
      </w:r>
    </w:p>
    <w:p>
      <w:pPr>
        <w:spacing w:after="120" w:before="120" w:line="240"/>
        <w:ind w:firstLine="0"/>
        <w:jc w:val="center"/>
      </w:pPr>
      <w:r>
        <w:rPr>
          <w:rFonts w:ascii="Times New Roman" w:cs="Times New Roman" w:eastAsia="Times New Roman" w:hAnsi="Times New Roman"/>
          <w:b/>
          <w:bCs/>
          <w:i w:val="false"/>
          <w:iCs w:val="false"/>
          <w:sz w:val="22"/>
          <w:szCs w:val="22"/>
        </w:rPr>
        <w:t xml:space="preserve">Список литературы</w:t>
      </w:r>
    </w:p>
    <w:p>
      <w:pPr>
        <w:spacing w:after="40" w:before="0" w:line="240"/>
        <w:ind w:firstLine="0"/>
        <w:jc w:val="both"/>
      </w:pPr>
      <w:r>
        <w:rPr>
          <w:rFonts w:ascii="Times New Roman" w:cs="Times New Roman" w:eastAsia="Times New Roman" w:hAnsi="Times New Roman"/>
          <w:b w:val="false"/>
          <w:bCs w:val="false"/>
          <w:i w:val="false"/>
          <w:iCs w:val="false"/>
          <w:sz w:val="20"/>
          <w:szCs w:val="20"/>
        </w:rPr>
        <w:t xml:space="preserve">1. Бабенко, Л.К. Современные алгоритмы блочного шифрования и методы их анализа / Л.К. Бабенко, Е.А. Ищукова. — М.: Гелиос АРВ, 2022. — 376 с.</w:t>
      </w:r>
    </w:p>
    <w:p>
      <w:pPr>
        <w:spacing w:after="40" w:before="0" w:line="240"/>
        <w:ind w:firstLine="0"/>
        <w:jc w:val="both"/>
      </w:pPr>
      <w:r>
        <w:rPr>
          <w:rFonts w:ascii="Times New Roman" w:cs="Times New Roman" w:eastAsia="Times New Roman" w:hAnsi="Times New Roman"/>
          <w:b w:val="false"/>
          <w:bCs w:val="false"/>
          <w:i w:val="false"/>
          <w:iCs w:val="false"/>
          <w:sz w:val="20"/>
          <w:szCs w:val="20"/>
        </w:rPr>
        <w:t xml:space="preserve">2. Коржик, В.И. Основы криптографии: учебное пособие / В.И. Коржик, В.А. Яковлев. — 4-е изд. — СПб.: ИЦ «Интермедия», 2020. — 312 с.</w:t>
      </w:r>
    </w:p>
    <w:p>
      <w:pPr>
        <w:spacing w:after="40" w:before="0" w:line="240"/>
        <w:ind w:firstLine="0"/>
        <w:jc w:val="both"/>
      </w:pPr>
      <w:r>
        <w:rPr>
          <w:rFonts w:ascii="Times New Roman" w:cs="Times New Roman" w:eastAsia="Times New Roman" w:hAnsi="Times New Roman"/>
          <w:b w:val="false"/>
          <w:bCs w:val="false"/>
          <w:i w:val="false"/>
          <w:iCs w:val="false"/>
          <w:sz w:val="20"/>
          <w:szCs w:val="20"/>
        </w:rPr>
        <w:t xml:space="preserve">3. Панасенко, С.П. Алгоритмы шифрования: специальный справочник / С.П. Панасенко. — СПб.: БХВ-Петербург, 2019. — 576 с.</w:t>
      </w:r>
    </w:p>
    <w:p>
      <w:pPr>
        <w:spacing w:after="40" w:before="0" w:line="240"/>
        <w:ind w:firstLine="0"/>
        <w:jc w:val="both"/>
      </w:pPr>
      <w:r>
        <w:rPr>
          <w:rFonts w:ascii="Times New Roman" w:cs="Times New Roman" w:eastAsia="Times New Roman" w:hAnsi="Times New Roman"/>
          <w:b w:val="false"/>
          <w:bCs w:val="false"/>
          <w:i w:val="false"/>
          <w:iCs w:val="false"/>
          <w:sz w:val="20"/>
          <w:szCs w:val="20"/>
        </w:rPr>
        <w:t xml:space="preserve">4. Шеннон, К. Теория связи в секретных системах / К. Шеннон // В мире математики. Пер. с англ. — М.: ИЛ, 1963. — С. 333–402.</w:t>
      </w:r>
    </w:p>
    <w:p>
      <w:pPr>
        <w:spacing w:after="40" w:before="0" w:line="240"/>
        <w:ind w:firstLine="0"/>
        <w:jc w:val="both"/>
      </w:pPr>
      <w:r>
        <w:rPr>
          <w:rFonts w:ascii="Times New Roman" w:cs="Times New Roman" w:eastAsia="Times New Roman" w:hAnsi="Times New Roman"/>
          <w:b w:val="false"/>
          <w:bCs w:val="false"/>
          <w:i w:val="false"/>
          <w:iCs w:val="false"/>
          <w:sz w:val="20"/>
          <w:szCs w:val="20"/>
        </w:rPr>
        <w:t xml:space="preserve">5. Бабаш, А.В. Криптографические методы защиты информации в условиях развития квантовых вычислений / А.В. Бабаш, Е.К. Баранова // Вопросы кибербезопасности. — 2021. — № 3(43). — С. 2–12.</w:t>
      </w:r>
    </w:p>
    <w:p>
      <w:pPr>
        <w:spacing w:after="40" w:before="0" w:line="240"/>
        <w:ind w:firstLine="0"/>
        <w:jc w:val="both"/>
      </w:pPr>
      <w:r>
        <w:rPr>
          <w:rFonts w:ascii="Times New Roman" w:cs="Times New Roman" w:eastAsia="Times New Roman" w:hAnsi="Times New Roman"/>
          <w:b w:val="false"/>
          <w:bCs w:val="false"/>
          <w:i w:val="false"/>
          <w:iCs w:val="false"/>
          <w:sz w:val="20"/>
          <w:szCs w:val="20"/>
        </w:rPr>
        <w:t xml:space="preserve">6. NIST SP 800-22 Rev.1a. A Statistical Test Suite for Random and Pseudorandom Number Generators for Cryptographic Applications. — National Institute of Standards and Technology, 2010.</w:t>
      </w:r>
    </w:p>
    <w:p>
      <w:pPr>
        <w:spacing w:after="40" w:before="0" w:line="240"/>
        <w:ind w:firstLine="0"/>
        <w:jc w:val="both"/>
      </w:pPr>
      <w:r>
        <w:rPr>
          <w:rFonts w:ascii="Times New Roman" w:cs="Times New Roman" w:eastAsia="Times New Roman" w:hAnsi="Times New Roman"/>
          <w:b w:val="false"/>
          <w:bCs w:val="false"/>
          <w:i w:val="false"/>
          <w:iCs w:val="false"/>
          <w:sz w:val="20"/>
          <w:szCs w:val="20"/>
        </w:rPr>
        <w:t xml:space="preserve">7. Шнайер, Б. Прикладная криптография: протоколы, алгоритмы и исходные коды на языке Си / Б. Шнайер; пер. с англ. — М.: Вильямс, 2023. — 816 с.</w:t>
      </w:r>
    </w:p>
    <w:p>
      <w:pPr>
        <w:spacing w:after="40" w:before="0" w:line="240"/>
        <w:ind w:firstLine="0"/>
        <w:jc w:val="both"/>
      </w:pPr>
      <w:r>
        <w:rPr>
          <w:rFonts w:ascii="Times New Roman" w:cs="Times New Roman" w:eastAsia="Times New Roman" w:hAnsi="Times New Roman"/>
          <w:b w:val="false"/>
          <w:bCs w:val="false"/>
          <w:i w:val="false"/>
          <w:iCs w:val="false"/>
          <w:sz w:val="20"/>
          <w:szCs w:val="20"/>
        </w:rPr>
        <w:t xml:space="preserve">8. ГОСТ Р 34.12-2015. Информационная технология. Криптографическая защита информации. Блочные шифры. — М.: Стандартинформ, 2015.</w:t>
      </w:r>
    </w:p>
    <w:p>
      <w:pPr>
        <w:spacing w:after="40" w:before="0" w:line="240"/>
        <w:ind w:firstLine="0"/>
        <w:jc w:val="both"/>
      </w:pPr>
      <w:r>
        <w:rPr>
          <w:rFonts w:ascii="Times New Roman" w:cs="Times New Roman" w:eastAsia="Times New Roman" w:hAnsi="Times New Roman"/>
          <w:b w:val="false"/>
          <w:bCs w:val="false"/>
          <w:i w:val="false"/>
          <w:iCs w:val="false"/>
          <w:sz w:val="20"/>
          <w:szCs w:val="20"/>
        </w:rPr>
        <w:t xml:space="preserve">9. Молдовян, Н.А. Введение в криптосистемы с открытым ключом / Н.А. Молдовян, А.А. Молдовян. — СПб.: БХВ-Петербург, 2020. — 288 с.</w:t>
      </w:r>
    </w:p>
    <w:sectPr>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f46be058aa082e261559f63b4c94e77a9c436f5.png"/><Relationship Id="rId8" Type="http://schemas.openxmlformats.org/officeDocument/2006/relationships/image" Target="media/05e7667e4f058518fbebedb59ea6c18d8be4602b.png"/><Relationship Id="rId9" Type="http://schemas.openxmlformats.org/officeDocument/2006/relationships/image" Target="media/8e3cde35662b28402f9606d652274d3fcdc57b3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2026-04-07T15:19:17.712Z</dcterms:created>
  <dcterms:modified xsi:type="dcterms:W3CDTF">2026-04-07T15:19:17.712Z</dcterms:modified>
</cp:coreProperties>
</file>

<file path=docProps/custom.xml><?xml version="1.0" encoding="utf-8"?>
<Properties xmlns="http://schemas.openxmlformats.org/officeDocument/2006/custom-properties" xmlns:vt="http://schemas.openxmlformats.org/officeDocument/2006/docPropsVTypes"/>
</file>