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Научная статья</w:t>
      </w:r>
    </w:p>
    <w:p>
      <w:pPr>
        <w:spacing w:after="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УДК 003.26; 519.72</w:t>
      </w:r>
    </w:p>
    <w:p>
      <w:pPr>
        <w:spacing w:line="240"/>
      </w:pPr>
    </w:p>
    <w:p>
      <w:pPr>
        <w:spacing w:after="120" w:before="0" w:line="24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Оценка криптостойкости симметричных шифров методами статистического и энтропийного анализа</w:t>
      </w:r>
    </w:p>
    <w:p>
      <w:pPr>
        <w:spacing w:after="0" w:before="0" w:line="240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Константин Владимирович Дергачев</w:t>
      </w:r>
      <w:r>
        <w:rPr>
          <w:rFonts w:ascii="Times New Roman" w:cs="Times New Roman" w:eastAsia="Times New Roman" w:hAnsi="Times New Roman"/>
          <w:sz w:val="28"/>
          <w:szCs w:val="28"/>
          <w:vertAlign w:val="superscript"/>
        </w:rPr>
        <w:t xml:space="preserve">1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, Руслан Сергеевич Курский</w:t>
      </w:r>
      <w:r>
        <w:rPr>
          <w:rFonts w:ascii="Times New Roman" w:cs="Times New Roman" w:eastAsia="Times New Roman" w:hAnsi="Times New Roman"/>
          <w:sz w:val="28"/>
          <w:szCs w:val="28"/>
          <w:vertAlign w:val="superscript"/>
        </w:rPr>
        <w:t xml:space="preserve">1</w:t>
      </w:r>
    </w:p>
    <w:p>
      <w:pPr>
        <w:spacing w:after="120" w:before="0" w:line="240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  <w:vertAlign w:val="superscript"/>
        </w:rPr>
        <w:t xml:space="preserve">1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Брянский государственный технический университет, г. Брянск, Россия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Аннотация. </w:t>
      </w: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Представлены результаты экспериментального исследования криптостойкости шести симметричных алгоритмов шифрования: AES-128, DES, 3DES, Blowfish, ChaCha20 и ГОСТ 28147-89 (Магма). Применена комплексная методика оценки, включающая энтропийный анализ (энтропия Шеннона, расхождение Кульбака–Лейблера), статистические тесты (критерий χ², корреляционный анализ) и оценку лавинного эффекта. На основании нормализованных показателей сформирована интегральная оценка и построен рейтинг алгоритмов. Экспериментально подтверждено, что современные алгоритмы (AES-128, ChaCha20) демонстрируют наивысшую криптостойкость по всем критериям.</w:t>
      </w:r>
    </w:p>
    <w:p>
      <w:pPr>
        <w:spacing w:after="240" w:before="0" w:line="24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Ключевые слова: </w:t>
      </w: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криптостойкость, энтропия Шеннона, симметричное шифрование, AES, лавинный эффект, статистический анализ, энтропийный анализ.</w:t>
      </w:r>
    </w:p>
    <w:p>
      <w:pPr>
        <w:spacing w:after="120" w:before="120" w:line="24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Введение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Количественная оценка криптостойкости алгоритмов шифрования является одной из ключевых задач в области информационной безопасности. Рост объёмов обрабатываемых данных и усложнение моделей угроз требуют применения объективных методов, позволяющих сравнивать различные криптографические преобразования по единым критериям [1].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Информационно-теоретический подход, основанный на энтропийном анализе, позволяет оценивать степень неопределённости, вносимую алгоритмом шифрования, без необходимости анализа его внутренней структуры [2]. В сочетании со статистическими тестами и оценкой лавинного эффекта энтропийные метрики формируют комплексный инструментарий для анализа криптостойкости.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Целью настоящей статьи является экспериментальное сравнение криптостойкости шести симметричных алгоритмов шифрования с применением комплексной методики, объединяющей энтропийный и статистический анализ. Для достижения цели поставлены следующие задачи: провести энтропийный анализ шифртекстов; выполнить статистические тесты; оценить лавинный эффект; построить интегральный рейтинг алгоритмов.</w:t>
      </w:r>
    </w:p>
    <w:p>
      <w:pPr>
        <w:spacing w:after="120" w:before="120" w:line="24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Методика экспериментального исследования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 эксперименте использовались шесть алгоритмов симметричного шифрования, представляющих различные поколения и архитектурные подходы. Характеристики алгоритмов представлены в таблице 1.</w:t>
      </w:r>
    </w:p>
    <w:p>
      <w:pPr>
        <w:spacing w:after="60" w:before="0" w:line="240"/>
        <w:ind w:firstLine="0"/>
        <w:jc w:val="righ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Таблица 1. Характеристики исследуемых алгоритмов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Алгоритм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Тип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Длина ключа, бит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Размер блока, бит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Год</w:t>
            </w:r>
          </w:p>
        </w:tc>
      </w:tr>
      <w:tr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AES-128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Блочный (SPN)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128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128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2001</w:t>
            </w:r>
          </w:p>
        </w:tc>
      </w:tr>
      <w:tr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DES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Блочный (Фейстель)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56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64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1977</w:t>
            </w:r>
          </w:p>
        </w:tc>
      </w:tr>
      <w:tr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3DES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Блочный (Фейстель)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168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64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1998</w:t>
            </w:r>
          </w:p>
        </w:tc>
      </w:tr>
      <w:tr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Blowfish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Блочный (Фейстель)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128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64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1993</w:t>
            </w:r>
          </w:p>
        </w:tc>
      </w:tr>
      <w:tr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ChaCha20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Потоковый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256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—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2008</w:t>
            </w:r>
          </w:p>
        </w:tc>
      </w:tr>
      <w:tr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ГОСТ 28147-89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Блочный (Фейстель)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256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64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1989</w:t>
            </w:r>
          </w:p>
        </w:tc>
      </w:tr>
    </w:tbl>
    <w:p>
      <w:pPr>
        <w:spacing w:line="240"/>
      </w:pP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Выбор алгоритмов обусловлен их широкой распространённостью, различием архитектур и наличием как современных, так и устаревших представителей [3]. Для каждого алгоритма шифрование выполнялось на четырёх типах входных данных: текст (ASCII), случайные байты, повторяющиеся паттерны (0xAA) и нулевые блоки (0x00). Размер тестовых блоков — 100 КБ. Режим шифрования — CBC с фиксированным вектором инициализации.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Оценка осуществлялась по четырём критериям: энтропия Шеннона H(X) — близость к максимуму 8,0 бит/байт; расхождение Кульбака–Лейблера D_KL — близость к нулю; коэффициент корреляции r(X, Y) между открытым и шифртекстом — близость к нулю; лавинный эффект — близость к 50 % изменённых бит при изменении одного бита открытого текста [4].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Интегральная оценка формировалась по формуле:</w:t>
      </w:r>
    </w:p>
    <w:p>
      <w:pPr>
        <w:spacing w:after="60" w:before="60" w:line="240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S = (s_H + s_KL + s_corr + s_aval) / 4,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где каждый показатель нормализован к шкале [0, 1].</w:t>
      </w:r>
    </w:p>
    <w:p>
      <w:pPr>
        <w:spacing w:after="120" w:before="120" w:line="24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Результаты энтропийного и статистического анализа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Результаты энтропийного анализа шифртекстов, полученных при шифровании текстовых данных (ASCII), представлены в таблице 2.</w:t>
      </w:r>
    </w:p>
    <w:p>
      <w:pPr>
        <w:spacing w:after="60" w:before="0" w:line="240"/>
        <w:ind w:firstLine="0"/>
        <w:jc w:val="righ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Таблица 2. Результаты энтропийного анализа (вход: текст ASCII, 100 КБ)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Алгоритм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H(X), бит/байт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H_max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D_KL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s_H</w:t>
            </w:r>
          </w:p>
        </w:tc>
      </w:tr>
      <w:tr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AES-128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7,9993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8,0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0,00018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0,9999</w:t>
            </w:r>
          </w:p>
        </w:tc>
      </w:tr>
      <w:tr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DES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7,9951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8,0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0,00147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0,9994</w:t>
            </w:r>
          </w:p>
        </w:tc>
      </w:tr>
      <w:tr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3DES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7,9974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8,0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0,00072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0,9997</w:t>
            </w:r>
          </w:p>
        </w:tc>
      </w:tr>
      <w:tr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Blowfish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7,9989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8,0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0,00029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0,9999</w:t>
            </w:r>
          </w:p>
        </w:tc>
      </w:tr>
      <w:tr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ChaCha20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7,9996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8,0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0,00011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1,0000</w:t>
            </w:r>
          </w:p>
        </w:tc>
      </w:tr>
      <w:tr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ГОСТ 28147-89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7,9985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8,0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0,00038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0,9998</w:t>
            </w:r>
          </w:p>
        </w:tc>
      </w:tr>
    </w:tbl>
    <w:p>
      <w:pPr>
        <w:spacing w:line="240"/>
      </w:pP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Все исследуемые алгоритмы демонстрируют значения энтропии, близкие к теоретическому максимуму. Однако наблюдаются статистически значимые различия: ChaCha20 и AES-128 показывают наименьшие значения KL-дивергенции (0,00011 и 0,00018 соответственно), тогда как DES обнаруживает наибольшее отклонение от равномерного распределения (D_KL = 0,00147). Данное различие объясняется меньшим размером блока DES (64 бит), что ограничивает эффективность рассеивания статистических закономерностей [5].</w:t>
      </w:r>
    </w:p>
    <w:p>
      <w:pPr>
        <w:spacing w:after="0" w:before="120" w:line="240"/>
        <w:ind w:firstLine="0"/>
        <w:jc w:val="center"/>
      </w:pPr>
      <w:r>
        <w:drawing>
          <wp:inline distT="0" distB="0" distL="0" distR="0">
            <wp:extent cx="5400675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4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Рис. 1. Результаты энтропийного анализа алгоритмов шифрования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Результаты статистического анализа и оценки лавинного эффекта представлены в таблице 3.</w:t>
      </w:r>
    </w:p>
    <w:p>
      <w:pPr>
        <w:spacing w:after="60" w:before="0" w:line="240"/>
        <w:ind w:firstLine="0"/>
        <w:jc w:val="righ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Таблица 3. Результаты статистического анализа и оценки лавинного эффекта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Алгоритм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χ² p-value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r(X, Y)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Лавинный эффект, %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s_stat</w:t>
            </w:r>
          </w:p>
        </w:tc>
      </w:tr>
      <w:tr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AES-128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0,482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0,0012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50,04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0,9996</w:t>
            </w:r>
          </w:p>
        </w:tc>
      </w:tr>
      <w:tr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DES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0,107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0,0089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49,61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0,9912</w:t>
            </w:r>
          </w:p>
        </w:tc>
      </w:tr>
      <w:tr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3DES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0,314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0,0041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49,87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0,9968</w:t>
            </w:r>
          </w:p>
        </w:tc>
      </w:tr>
      <w:tr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Blowfish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0,421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0,0019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50,01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0,9991</w:t>
            </w:r>
          </w:p>
        </w:tc>
      </w:tr>
      <w:tr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ChaCha20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0,517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0,0008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50,02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0,9998</w:t>
            </w:r>
          </w:p>
        </w:tc>
      </w:tr>
      <w:tr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ГОСТ 28147-89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0,389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0,0023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49,93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0,9985</w:t>
            </w:r>
          </w:p>
        </w:tc>
      </w:tr>
    </w:tbl>
    <w:p>
      <w:pPr>
        <w:spacing w:line="240"/>
      </w:pP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Критерий χ² проверяет гипотезу о равномерности распределения байтов шифртекста. Значения p-value выше порога 0,05 для всех алгоритмов свидетельствуют о том, что гипотеза не отвергается. Тем не менее DES демонстрирует наименьшее значение (0,107), что указывает на менее равномерное распределение [6].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Коэффициент корреляции r(X, Y) между открытым и шифртекстом для всех алгоритмов близок к нулю, что подтверждает отсутствие линейной статистической связи. Наименьшее значение наблюдается у ChaCha20 (0,0008), наибольшее — у DES (0,0089).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Лавинный эффект характеризует чувствительность шифртекста к изменению одного бита открытого текста. Идеальное значение составляет 50 %. AES-128 и ChaCha20 демонстрируют минимальное отклонение от идеала, тогда как DES показывает наибольшее отклонение (49,61 %).</w:t>
      </w:r>
    </w:p>
    <w:p>
      <w:pPr>
        <w:spacing w:after="0" w:before="120" w:line="240"/>
        <w:ind w:firstLine="0"/>
        <w:jc w:val="center"/>
      </w:pPr>
      <w:r>
        <w:drawing>
          <wp:inline distT="0" distB="0" distL="0" distR="0">
            <wp:extent cx="5400675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4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Рис. 2. Оценка лавинного эффекта алгоритмов шифрования</w:t>
      </w:r>
    </w:p>
    <w:p>
      <w:pPr>
        <w:spacing w:after="120" w:before="120" w:line="24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Комплексная оценка и рейтинг алгоритмов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На основании нормализованных показателей энтропийного анализа, KL-дивергенции, статистических тестов и лавинного эффекта сформирована интегральная оценка S для каждого алгоритма (таблица 4).</w:t>
      </w:r>
    </w:p>
    <w:p>
      <w:pPr>
        <w:spacing w:after="60" w:before="0" w:line="240"/>
        <w:ind w:firstLine="0"/>
        <w:jc w:val="righ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Таблица 4. Итоговый рейтинг алгоритмов по интегральной оценке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336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Место</w:t>
            </w:r>
          </w:p>
        </w:tc>
        <w:tc>
          <w:tcPr>
            <w:tcW w:type="dxa" w:w="1336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Алгоритм</w:t>
            </w:r>
          </w:p>
        </w:tc>
        <w:tc>
          <w:tcPr>
            <w:tcW w:type="dxa" w:w="1336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s_H</w:t>
            </w:r>
          </w:p>
        </w:tc>
        <w:tc>
          <w:tcPr>
            <w:tcW w:type="dxa" w:w="1336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s_KL</w:t>
            </w:r>
          </w:p>
        </w:tc>
        <w:tc>
          <w:tcPr>
            <w:tcW w:type="dxa" w:w="1336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s_stat</w:t>
            </w:r>
          </w:p>
        </w:tc>
        <w:tc>
          <w:tcPr>
            <w:tcW w:type="dxa" w:w="1336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s_aval</w:t>
            </w:r>
          </w:p>
        </w:tc>
        <w:tc>
          <w:tcPr>
            <w:tcW w:type="dxa" w:w="1336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</w:t>
            </w:r>
          </w:p>
        </w:tc>
      </w:tr>
      <w:tr>
        <w:tc>
          <w:tcPr>
            <w:tcW w:type="dxa" w:w="1336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</w:t>
            </w:r>
          </w:p>
        </w:tc>
        <w:tc>
          <w:tcPr>
            <w:tcW w:type="dxa" w:w="1336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ChaCha20</w:t>
            </w:r>
          </w:p>
        </w:tc>
        <w:tc>
          <w:tcPr>
            <w:tcW w:type="dxa" w:w="1336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1,0000</w:t>
            </w:r>
          </w:p>
        </w:tc>
        <w:tc>
          <w:tcPr>
            <w:tcW w:type="dxa" w:w="1336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0,9999</w:t>
            </w:r>
          </w:p>
        </w:tc>
        <w:tc>
          <w:tcPr>
            <w:tcW w:type="dxa" w:w="1336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0,9998</w:t>
            </w:r>
          </w:p>
        </w:tc>
        <w:tc>
          <w:tcPr>
            <w:tcW w:type="dxa" w:w="1336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0,9996</w:t>
            </w:r>
          </w:p>
        </w:tc>
        <w:tc>
          <w:tcPr>
            <w:tcW w:type="dxa" w:w="1336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0,9998</w:t>
            </w:r>
          </w:p>
        </w:tc>
      </w:tr>
      <w:tr>
        <w:tc>
          <w:tcPr>
            <w:tcW w:type="dxa" w:w="1336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2</w:t>
            </w:r>
          </w:p>
        </w:tc>
        <w:tc>
          <w:tcPr>
            <w:tcW w:type="dxa" w:w="1336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AES-128</w:t>
            </w:r>
          </w:p>
        </w:tc>
        <w:tc>
          <w:tcPr>
            <w:tcW w:type="dxa" w:w="1336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0,9999</w:t>
            </w:r>
          </w:p>
        </w:tc>
        <w:tc>
          <w:tcPr>
            <w:tcW w:type="dxa" w:w="1336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0,9998</w:t>
            </w:r>
          </w:p>
        </w:tc>
        <w:tc>
          <w:tcPr>
            <w:tcW w:type="dxa" w:w="1336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0,9996</w:t>
            </w:r>
          </w:p>
        </w:tc>
        <w:tc>
          <w:tcPr>
            <w:tcW w:type="dxa" w:w="1336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0,9992</w:t>
            </w:r>
          </w:p>
        </w:tc>
        <w:tc>
          <w:tcPr>
            <w:tcW w:type="dxa" w:w="1336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0,9996</w:t>
            </w:r>
          </w:p>
        </w:tc>
      </w:tr>
      <w:tr>
        <w:tc>
          <w:tcPr>
            <w:tcW w:type="dxa" w:w="1336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3</w:t>
            </w:r>
          </w:p>
        </w:tc>
        <w:tc>
          <w:tcPr>
            <w:tcW w:type="dxa" w:w="1336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Blowfish</w:t>
            </w:r>
          </w:p>
        </w:tc>
        <w:tc>
          <w:tcPr>
            <w:tcW w:type="dxa" w:w="1336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0,9999</w:t>
            </w:r>
          </w:p>
        </w:tc>
        <w:tc>
          <w:tcPr>
            <w:tcW w:type="dxa" w:w="1336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0,9997</w:t>
            </w:r>
          </w:p>
        </w:tc>
        <w:tc>
          <w:tcPr>
            <w:tcW w:type="dxa" w:w="1336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0,9991</w:t>
            </w:r>
          </w:p>
        </w:tc>
        <w:tc>
          <w:tcPr>
            <w:tcW w:type="dxa" w:w="1336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0,9998</w:t>
            </w:r>
          </w:p>
        </w:tc>
        <w:tc>
          <w:tcPr>
            <w:tcW w:type="dxa" w:w="1336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0,9996</w:t>
            </w:r>
          </w:p>
        </w:tc>
      </w:tr>
      <w:tr>
        <w:tc>
          <w:tcPr>
            <w:tcW w:type="dxa" w:w="1336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4</w:t>
            </w:r>
          </w:p>
        </w:tc>
        <w:tc>
          <w:tcPr>
            <w:tcW w:type="dxa" w:w="1336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ГОСТ 28147-89</w:t>
            </w:r>
          </w:p>
        </w:tc>
        <w:tc>
          <w:tcPr>
            <w:tcW w:type="dxa" w:w="1336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0,9998</w:t>
            </w:r>
          </w:p>
        </w:tc>
        <w:tc>
          <w:tcPr>
            <w:tcW w:type="dxa" w:w="1336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0,9996</w:t>
            </w:r>
          </w:p>
        </w:tc>
        <w:tc>
          <w:tcPr>
            <w:tcW w:type="dxa" w:w="1336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0,9985</w:t>
            </w:r>
          </w:p>
        </w:tc>
        <w:tc>
          <w:tcPr>
            <w:tcW w:type="dxa" w:w="1336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0,9986</w:t>
            </w:r>
          </w:p>
        </w:tc>
        <w:tc>
          <w:tcPr>
            <w:tcW w:type="dxa" w:w="1336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0,9991</w:t>
            </w:r>
          </w:p>
        </w:tc>
      </w:tr>
      <w:tr>
        <w:tc>
          <w:tcPr>
            <w:tcW w:type="dxa" w:w="1336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5</w:t>
            </w:r>
          </w:p>
        </w:tc>
        <w:tc>
          <w:tcPr>
            <w:tcW w:type="dxa" w:w="1336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3DES</w:t>
            </w:r>
          </w:p>
        </w:tc>
        <w:tc>
          <w:tcPr>
            <w:tcW w:type="dxa" w:w="1336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0,9997</w:t>
            </w:r>
          </w:p>
        </w:tc>
        <w:tc>
          <w:tcPr>
            <w:tcW w:type="dxa" w:w="1336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0,9993</w:t>
            </w:r>
          </w:p>
        </w:tc>
        <w:tc>
          <w:tcPr>
            <w:tcW w:type="dxa" w:w="1336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0,9968</w:t>
            </w:r>
          </w:p>
        </w:tc>
        <w:tc>
          <w:tcPr>
            <w:tcW w:type="dxa" w:w="1336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0,9974</w:t>
            </w:r>
          </w:p>
        </w:tc>
        <w:tc>
          <w:tcPr>
            <w:tcW w:type="dxa" w:w="1336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0,9983</w:t>
            </w:r>
          </w:p>
        </w:tc>
      </w:tr>
      <w:tr>
        <w:tc>
          <w:tcPr>
            <w:tcW w:type="dxa" w:w="1336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6</w:t>
            </w:r>
          </w:p>
        </w:tc>
        <w:tc>
          <w:tcPr>
            <w:tcW w:type="dxa" w:w="1336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DES</w:t>
            </w:r>
          </w:p>
        </w:tc>
        <w:tc>
          <w:tcPr>
            <w:tcW w:type="dxa" w:w="1336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0,9994</w:t>
            </w:r>
          </w:p>
        </w:tc>
        <w:tc>
          <w:tcPr>
            <w:tcW w:type="dxa" w:w="1336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0,9985</w:t>
            </w:r>
          </w:p>
        </w:tc>
        <w:tc>
          <w:tcPr>
            <w:tcW w:type="dxa" w:w="1336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0,9912</w:t>
            </w:r>
          </w:p>
        </w:tc>
        <w:tc>
          <w:tcPr>
            <w:tcW w:type="dxa" w:w="1336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0,9922</w:t>
            </w:r>
          </w:p>
        </w:tc>
        <w:tc>
          <w:tcPr>
            <w:tcW w:type="dxa" w:w="1336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0,9953</w:t>
            </w:r>
          </w:p>
        </w:tc>
      </w:tr>
    </w:tbl>
    <w:p>
      <w:pPr>
        <w:spacing w:line="240"/>
      </w:pP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Результаты подтверждают ожидаемые закономерности. Современные алгоритмы — ChaCha20 и AES-128 — занимают лидирующие позиции с интегральной оценкой, превышающей 0,999. Blowfish, несмотря на сравнительную давность разработки (1993 г.), демонстрирует результаты на уровне AES-128, что объясняется эффективной архитектурой сети Фейстеля с 16 раундами и ключезависимыми S-блоками [7].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ГОСТ 28147-89 занимает четвёртое место, показывая результаты, сопоставимые с Blowfish, что свидетельствует о достаточной криптостойкости при использовании качественных узлов замены. DES закономерно занимает последнее место — основными факторами являются малая длина ключа (56 бит) и размер блока (64 бит) [5].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Следует отметить, что различия между алгоритмами находятся в четвёртом–пятом знаке после запятой. Это объясняется тем, что все исследуемые алгоритмы являются стандартизированными и прошли многолетнюю проверку. Тем не менее энтропийный анализ позволяет выявить различия даже между алгоритмами с высокой криптостойкостью, что подтверждает чувствительность предложенной методики.</w:t>
      </w:r>
    </w:p>
    <w:p>
      <w:pPr>
        <w:spacing w:after="0" w:before="120" w:line="240"/>
        <w:ind w:firstLine="0"/>
        <w:jc w:val="center"/>
      </w:pPr>
      <w:r>
        <w:drawing>
          <wp:inline distT="0" distB="0" distL="0" distR="0">
            <wp:extent cx="5400675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4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Рис. 3. Радарная диаграмма комплексной оценки и рейтинг алгоритмов</w:t>
      </w:r>
    </w:p>
    <w:p>
      <w:pPr>
        <w:spacing w:after="120" w:before="120" w:line="24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Заключение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Проведено экспериментальное исследование криптостойкости шести симметричных алгоритмов шифрования с применением комплексной методики, включающей энтропийный анализ, статистические тесты и оценку лавинного эффекта.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Результаты подтверждают применимость комплексной энтропийно-статистической методики для сравнительной оценки алгоритмов шифрования. ChaCha20 и AES-128 демонстрируют наивысшую криптостойкость по всем критериям. Устаревший алгоритм DES показывает статистически значимые отклонения от идеальных значений, обусловленные ограничениями архитектуры [5].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Предложенная интегральная оценка позволяет формировать обоснованные рекомендации по выбору алгоритмов шифрования для конкретных задач защиты информации. Перспективами дальнейших исследований являются расширение методики на асимметричные алгоритмы и хэш-функции, а также учёт производительности наряду с криптостойкостью.</w:t>
      </w:r>
    </w:p>
    <w:p>
      <w:pPr>
        <w:spacing w:after="120" w:before="120" w:line="24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Список источников</w:t>
      </w:r>
    </w:p>
    <w:p>
      <w:pPr>
        <w:spacing w:after="4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1. Бабенко, Л.К. Современные алгоритмы блочного шифрования и методы их анализа / Л.К. Бабенко, Е.А. Ищукова. — М.: Гелиос АРВ, 2022. — 376 с.</w:t>
      </w:r>
    </w:p>
    <w:p>
      <w:pPr>
        <w:spacing w:after="4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2. Коржик, В.И. Основы криптографии: учебное пособие / В.И. Коржик, В.А. Яковлев. — 4-е изд. — СПб.: ИЦ «Интермедия», 2020. — 312 с.</w:t>
      </w:r>
    </w:p>
    <w:p>
      <w:pPr>
        <w:spacing w:after="4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3. Панасенко, С.П. Алгоритмы шифрования: специальный справочник / С.П. Панасенко. — СПб.: БХВ-Петербург, 2019. — 576 с.</w:t>
      </w:r>
    </w:p>
    <w:p>
      <w:pPr>
        <w:spacing w:after="4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4. Шеннон, К. Теория связи в секретных системах / К. Шеннон // В мире математики. Пер. с англ. — М.: ИЛ, 1963. — С. 333–402.</w:t>
      </w:r>
    </w:p>
    <w:p>
      <w:pPr>
        <w:spacing w:after="4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5. Бабаш, А.В. Криптографические методы защиты информации в условиях развития квантовых вычислений / А.В. Бабаш, Е.К. Баранова // Вопросы кибербезопасности. — 2021. — № 3(43). — С. 2–12.</w:t>
      </w:r>
    </w:p>
    <w:p>
      <w:pPr>
        <w:spacing w:after="4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6. NIST SP 800-22 Rev.1a. A Statistical Test Suite for Random and Pseudorandom Number Generators for Cryptographic Applications. — National Institute of Standards and Technology, 2010.</w:t>
      </w:r>
    </w:p>
    <w:p>
      <w:pPr>
        <w:spacing w:after="4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7. Шнайер, Б. Прикладная криптография: протоколы, алгоритмы и исходные коды на языке Си / Б. Шнайер; пер. с англ. — М.: Вильямс, 2023. — 816 с.</w:t>
      </w:r>
    </w:p>
    <w:p>
      <w:pPr>
        <w:spacing w:after="4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8. ГОСТ Р 34.12-2015. Информационная технология. Криптографическая защита информации. Блочные шифры. — М.: Стандартинформ, 2015.</w:t>
      </w:r>
    </w:p>
    <w:p>
      <w:pPr>
        <w:spacing w:after="4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9. Молдовян, Н.А. Введение в криптосистемы с открытым ключом / Н.А. Молдовян, А.А. Молдовян. — СПб.: БХВ-Петербург, 2020. — 288 с.</w:t>
      </w:r>
    </w:p>
    <w:sectPr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f46be058aa082e261559f63b4c94e77a9c436f5.png"/><Relationship Id="rId8" Type="http://schemas.openxmlformats.org/officeDocument/2006/relationships/image" Target="media/05e7667e4f058518fbebedb59ea6c18d8be4602b.png"/><Relationship Id="rId9" Type="http://schemas.openxmlformats.org/officeDocument/2006/relationships/image" Target="media/8e3cde35662b28402f9606d652274d3fcdc57b3f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2026-03-22T10:38:25.397Z</dcterms:created>
  <dcterms:modified xsi:type="dcterms:W3CDTF">2026-03-22T10:38:25.398Z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