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ГРНТИ 20.01.04</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УДК 003.26; 519.72</w:t>
      </w:r>
    </w:p>
    <w:p>
      <w:pPr>
        <w:spacing w:after="0" w:before="0" w:line="240"/>
        <w:ind w:firstLine="0"/>
        <w:jc w:val="center"/>
      </w:pPr>
      <w:r>
        <w:rPr>
          <w:rFonts w:ascii="Times New Roman" w:cs="Times New Roman" w:eastAsia="Times New Roman" w:hAnsi="Times New Roman"/>
          <w:b w:val="false"/>
          <w:bCs w:val="false"/>
          <w:i/>
          <w:iCs/>
          <w:sz w:val="20"/>
          <w:szCs w:val="20"/>
        </w:rPr>
        <w:t xml:space="preserve">К.В. Дергачев, кандидат технических наук, доцент</w:t>
      </w:r>
    </w:p>
    <w:p>
      <w:pPr>
        <w:spacing w:after="0" w:before="0" w:line="240"/>
        <w:ind w:firstLine="0"/>
        <w:jc w:val="center"/>
      </w:pPr>
      <w:r>
        <w:rPr>
          <w:rFonts w:ascii="Times New Roman" w:cs="Times New Roman" w:eastAsia="Times New Roman" w:hAnsi="Times New Roman"/>
          <w:b w:val="false"/>
          <w:bCs w:val="false"/>
          <w:i/>
          <w:iCs/>
          <w:sz w:val="20"/>
          <w:szCs w:val="20"/>
        </w:rPr>
        <w:t xml:space="preserve">Р.И. Курский, магистрант</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кафедра «Информатика и программное обеспечение»</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Брянский государственный технический университет</w:t>
      </w:r>
    </w:p>
    <w:p>
      <w:pPr>
        <w:spacing w:line="240"/>
      </w:pPr>
    </w:p>
    <w:p>
      <w:pPr>
        <w:spacing w:after="0" w:before="0" w:line="240"/>
        <w:ind w:firstLine="0"/>
        <w:jc w:val="center"/>
      </w:pPr>
      <w:r>
        <w:rPr>
          <w:rFonts w:ascii="Times New Roman" w:cs="Times New Roman" w:eastAsia="Times New Roman" w:hAnsi="Times New Roman"/>
          <w:b w:val="false"/>
          <w:bCs w:val="false"/>
          <w:i/>
          <w:iCs/>
          <w:sz w:val="20"/>
          <w:szCs w:val="20"/>
        </w:rPr>
        <w:t xml:space="preserve">K.V. Dergachev, PhD in Engineering, Associate Professor</w:t>
      </w:r>
    </w:p>
    <w:p>
      <w:pPr>
        <w:spacing w:after="0" w:before="0" w:line="240"/>
        <w:ind w:firstLine="0"/>
        <w:jc w:val="center"/>
      </w:pPr>
      <w:r>
        <w:rPr>
          <w:rFonts w:ascii="Times New Roman" w:cs="Times New Roman" w:eastAsia="Times New Roman" w:hAnsi="Times New Roman"/>
          <w:b w:val="false"/>
          <w:bCs w:val="false"/>
          <w:i/>
          <w:iCs/>
          <w:sz w:val="20"/>
          <w:szCs w:val="20"/>
        </w:rPr>
        <w:t xml:space="preserve">R.I. Kurskiy, Master's Degree Student</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Department of Computer Science and Software Engineering</w:t>
      </w:r>
    </w:p>
    <w:p>
      <w:pPr>
        <w:spacing w:after="0" w:before="0" w:line="240"/>
        <w:ind w:firstLine="0"/>
        <w:jc w:val="center"/>
      </w:pPr>
      <w:r>
        <w:rPr>
          <w:rFonts w:ascii="Times New Roman" w:cs="Times New Roman" w:eastAsia="Times New Roman" w:hAnsi="Times New Roman"/>
          <w:b w:val="false"/>
          <w:bCs w:val="false"/>
          <w:i w:val="false"/>
          <w:iCs w:val="false"/>
          <w:sz w:val="20"/>
          <w:szCs w:val="20"/>
        </w:rPr>
        <w:t xml:space="preserve">Bryansk State Technical University</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Оценка криптостойкости симметричных шифров методами статистического и энтропийного анализа</w:t>
      </w:r>
    </w:p>
    <w:p>
      <w:pPr>
        <w:spacing w:line="240"/>
      </w:pPr>
    </w:p>
    <w:p>
      <w:pPr>
        <w:spacing w:after="0" w:before="0" w:line="240"/>
        <w:ind w:firstLine="0"/>
        <w:jc w:val="center"/>
      </w:pPr>
      <w:r>
        <w:rPr>
          <w:rFonts w:ascii="Times New Roman" w:cs="Times New Roman" w:eastAsia="Times New Roman" w:hAnsi="Times New Roman"/>
          <w:b/>
          <w:bCs/>
          <w:i w:val="false"/>
          <w:iCs w:val="false"/>
          <w:sz w:val="20"/>
          <w:szCs w:val="20"/>
        </w:rPr>
        <w:t xml:space="preserve">Evaluation of cryptographic strength of symmetric ciphers by methods of statistical and entropy analysis</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Представлены результаты экспериментального исследования криптостойкости шести симметричных алгоритмов шифрования: AES-128, DES, 3DES, Blowfish, ChaCha20 и ГОСТ 28147-89 (Магма). Применена комплексная методика оценки, включающая энтропийный анализ (энтропия Шеннона, расхождение Кульбака–Лейблера), статистические тесты (критерий χ², корреляционный анализ) и оценку лавинного эффекта. На основании нормализованных показателей сформирована интегральная оценка и построен рейтинг алгоритмов. Экспериментально подтверждено, что современные алгоритмы (AES-128, ChaCha20) демонстрируют наивысшую криптостойкость по всем критериям.</w:t>
      </w:r>
    </w:p>
    <w:p>
      <w:pPr>
        <w:spacing w:line="240"/>
      </w:pPr>
    </w:p>
    <w:p>
      <w:pPr>
        <w:spacing w:after="0" w:before="0" w:line="240"/>
        <w:ind w:firstLine="0"/>
        <w:jc w:val="both"/>
      </w:pPr>
      <w:r>
        <w:rPr>
          <w:rFonts w:ascii="Times New Roman" w:cs="Times New Roman" w:eastAsia="Times New Roman" w:hAnsi="Times New Roman"/>
          <w:b w:val="false"/>
          <w:bCs w:val="false"/>
          <w:i w:val="false"/>
          <w:iCs w:val="false"/>
          <w:sz w:val="20"/>
          <w:szCs w:val="20"/>
        </w:rPr>
        <w:t xml:space="preserve">The results of an experimental study of the cryptographic strength of six symmetric encryption algorithms are presented: AES-128, DES, 3DES, Blowfish, ChaCha20, and GOST 28147-89 (Magma). A comprehensive evaluation methodology was applied, including entropy analysis (Shannon entropy, Kullback–Leibler divergence), statistical tests (chi-squared test, correlation analysis), and avalanche effect evaluation. Based on normalized indicators, an integral assessment was formed and an algorithm ranking was constructed. It was experimentally confirmed that modern algorithms (AES-128, ChaCha20) demonstrate the highest cryptographic strength across all criteria.</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Ключевые слова: </w:t>
      </w:r>
      <w:r>
        <w:rPr>
          <w:rFonts w:ascii="Times New Roman" w:cs="Times New Roman" w:eastAsia="Times New Roman" w:hAnsi="Times New Roman"/>
          <w:sz w:val="20"/>
          <w:szCs w:val="20"/>
        </w:rPr>
        <w:t xml:space="preserve">криптостойкость; энтропия Шеннона; симметричное шифрование; AES; лавинный эффект; статистический анализ; энтропийный анализ.</w:t>
      </w:r>
    </w:p>
    <w:p>
      <w:pPr>
        <w:spacing w:line="240"/>
      </w:pPr>
    </w:p>
    <w:p>
      <w:pPr>
        <w:spacing w:after="0" w:before="0" w:line="240"/>
        <w:ind w:firstLine="0"/>
        <w:jc w:val="both"/>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cryptographic strength; Shannon entropy; symmetric encryption; AES; avalanche effect; statistical analysis; entropy analysis.</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Количественная оценка криптостойкости алгоритмов шифрования является одной из ключевых задач в области информационной безопасности. Рост объёмов обрабатываемых данных и усложнение моделей угроз требуют применения объективных методов, позволяющих сравнивать различные криптографические преобразования по единым критериям [1].</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Информационно-теоретический подход, основанный на энтропийном анализе, позволяет оценивать степень неопределённости, вносимую алгоритмом шифрования, без необходимости анализа его внутренней структуры [2]. В сочетании со статистическими тестами и оценкой лавинного эффекта энтропийные метрики формируют комплексный инструментарий для анализа криптостойкости.</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Целью настоящей статьи является экспериментальное сравнение криптостойкости шести симметричных алгоритмов шифрования с применением комплексной методики, объединяющей энтропийный и статистический анализ.</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 эксперименте использовались шесть алгоритмов симметричного шифрования (таблица 1).</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1</w:t>
      </w:r>
      <w:r>
        <w:rPr>
          <w:rFonts w:ascii="Times New Roman" w:cs="Times New Roman" w:eastAsia="Times New Roman" w:hAnsi="Times New Roman"/>
          <w:sz w:val="18"/>
          <w:szCs w:val="18"/>
        </w:rPr>
        <w:t xml:space="preserve">. Характеристики исследуемых алгоритмов</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Тип</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Ключ,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Блок, бит</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Год</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SPN</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1977</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168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1993</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Потоковый</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2008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Фейстель</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256</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1989</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Для каждого алгоритма шифрование выполнялось на четырёх типах входных данных: текст (ASCII), случайные байты, паттерны (0xAA) и нулевые блоки (0x00). Размер тестовых блоков — 100 КБ. Режим — CBC [3].</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Оценка осуществлялась по четырём критериям: H(X), D_KL, r(X, Y) и лавинный эффект. Интегральная оценка [4]:</w:t>
      </w:r>
    </w:p>
    <w:p>
      <w:pPr>
        <w:spacing w:after="60" w:before="60" w:line="240"/>
        <w:ind w:firstLine="0"/>
        <w:jc w:val="center"/>
      </w:pPr>
      <w:r>
        <w:rPr>
          <w:rFonts w:ascii="Times New Roman" w:cs="Times New Roman" w:eastAsia="Times New Roman" w:hAnsi="Times New Roman"/>
          <w:b w:val="false"/>
          <w:bCs w:val="false"/>
          <w:i w:val="false"/>
          <w:iCs w:val="false"/>
          <w:sz w:val="20"/>
          <w:szCs w:val="20"/>
        </w:rPr>
        <w:t xml:space="preserve">S = (s_H + s_KL + s_corr + s_aval) / 4.</w:t>
      </w: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Результаты энтропийного анализа представлены в таблице 2.</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2</w:t>
      </w:r>
      <w:r>
        <w:rPr>
          <w:rFonts w:ascii="Times New Roman" w:cs="Times New Roman" w:eastAsia="Times New Roman" w:hAnsi="Times New Roman"/>
          <w:sz w:val="18"/>
          <w:szCs w:val="18"/>
        </w:rPr>
        <w:t xml:space="preserve">. Результаты энтропийного анализа</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530"/>
        <w:gridCol w:w="1530"/>
        <w:gridCol w:w="1530"/>
        <w:gridCol w:w="1530"/>
      </w:tblGrid>
      <w:tr>
        <w:trPr>
          <w:tblHeader/>
        </w:trP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H(X)</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D_KL</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7,9993</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7,9951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0,00147</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7,9974</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0,00072</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0,00029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7,9996</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0,00011</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r>
      <w:tr>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7,9985</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0,00038</w:t>
            </w:r>
          </w:p>
        </w:tc>
        <w:tc>
          <w:tcPr>
            <w:tcW w:type="dxa" w:w="153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показывают наименьшие значения KL-дивергенции, DES — наибольшее отклонение (D_KL = 0,00147), что объясняется меньшим размером блока (64 бит)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1. Энтропийный анализ алгоритмов</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3</w:t>
      </w:r>
      <w:r>
        <w:rPr>
          <w:rFonts w:ascii="Times New Roman" w:cs="Times New Roman" w:eastAsia="Times New Roman" w:hAnsi="Times New Roman"/>
          <w:sz w:val="18"/>
          <w:szCs w:val="18"/>
        </w:rPr>
        <w:t xml:space="preserve">. Статистический анализ и лавинный эффект</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1224"/>
        <w:gridCol w:w="1224"/>
        <w:gridCol w:w="1224"/>
        <w:gridCol w:w="1224"/>
        <w:gridCol w:w="1224"/>
      </w:tblGrid>
      <w:tr>
        <w:trPr>
          <w:tblHeader/>
        </w:trP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χ² p-value</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r(X,Y)</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Лав. эфф., %</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0,482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0,107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49,61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0,314</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0,0041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49,87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0,421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0,0019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50,01</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0,517</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0,0008</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50,02</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 28147-89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0,389</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0,0023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49,93</w:t>
            </w:r>
          </w:p>
        </w:tc>
        <w:tc>
          <w:tcPr>
            <w:tcW w:type="dxa" w:w="122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Все алгоритмы проходят тест χ² (p &gt; 0,05). DES показывает наименьшее p-value (0,107) и наибольшую корреляцию (0,0089) [6].</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2. Лавинный эффект</w:t>
      </w:r>
    </w:p>
    <w:p>
      <w:pPr>
        <w:spacing w:line="240"/>
      </w:pPr>
    </w:p>
    <w:p>
      <w:pPr>
        <w:spacing w:after="60" w:before="0" w:line="240"/>
        <w:ind w:firstLine="0"/>
        <w:jc w:val="center"/>
      </w:pPr>
      <w:r>
        <w:rPr>
          <w:rFonts w:ascii="Times New Roman" w:cs="Times New Roman" w:eastAsia="Times New Roman" w:hAnsi="Times New Roman"/>
          <w:b/>
          <w:bCs/>
          <w:sz w:val="18"/>
          <w:szCs w:val="18"/>
        </w:rPr>
        <w:t xml:space="preserve">Таблица 4</w:t>
      </w:r>
      <w:r>
        <w:rPr>
          <w:rFonts w:ascii="Times New Roman" w:cs="Times New Roman" w:eastAsia="Times New Roman" w:hAnsi="Times New Roman"/>
          <w:sz w:val="18"/>
          <w:szCs w:val="18"/>
        </w:rPr>
        <w:t xml:space="preserve">. Итоговый рейтинг</w:t>
      </w:r>
    </w:p>
    <w:tbl>
      <w:tblPr>
        <w:tblW w:type="dxa" w:w="6123"/>
        <w:tblBorders>
          <w:top w:val="single" w:color="auto" w:sz="4"/>
          <w:left w:val="single" w:color="auto" w:sz="4"/>
          <w:bottom w:val="single" w:color="auto" w:sz="4"/>
          <w:right w:val="single" w:color="auto" w:sz="4"/>
          <w:insideH w:val="single" w:color="auto" w:sz="4"/>
          <w:insideV w:val="single" w:color="auto" w:sz="4"/>
        </w:tblBorders>
      </w:tblPr>
      <w:tblGrid>
        <w:gridCol w:w="874"/>
        <w:gridCol w:w="874"/>
        <w:gridCol w:w="874"/>
        <w:gridCol w:w="874"/>
        <w:gridCol w:w="874"/>
        <w:gridCol w:w="874"/>
        <w:gridCol w:w="874"/>
      </w:tblGrid>
      <w:tr>
        <w:trPr>
          <w:tblHeader/>
        </w:trP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Алгоритм</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s_KL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s_stat</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s_aval</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S</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ChaCha20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1,0000</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AES-128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Blowfish</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0,9999</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ГОСТ</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0,9991</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3DES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0,9997</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0,9993</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0,9968</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0,9974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0,9983</w:t>
            </w:r>
          </w:p>
        </w:tc>
      </w:tr>
      <w:tr>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6</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DES</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0,9994</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0,9985</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0,9912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0,9922</w:t>
            </w:r>
          </w:p>
        </w:tc>
        <w:tc>
          <w:tcPr>
            <w:tcW w:type="dxa" w:w="874"/>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ind w:firstLine="0"/>
              <w:jc w:val="center"/>
            </w:pPr>
            <w:r>
              <w:rPr>
                <w:rFonts w:ascii="Times New Roman" w:cs="Times New Roman" w:eastAsia="Times New Roman" w:hAnsi="Times New Roman"/>
                <w:sz w:val="18"/>
                <w:szCs w:val="18"/>
              </w:rPr>
              <w:t xml:space="preserve">0,9953</w:t>
            </w:r>
          </w:p>
        </w:tc>
      </w:tr>
    </w:tbl>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ChaCha20 и AES-128 лидируют (S &gt; 0,999). Blowfish на уровне AES-128 благодаря архитектуре с ключезависимыми S-блоками [7]. DES — последний из-за малого ключа и блока [5].</w:t>
      </w:r>
    </w:p>
    <w:p>
      <w:pPr>
        <w:spacing w:line="240"/>
      </w:pPr>
    </w:p>
    <w:p>
      <w:pPr>
        <w:spacing w:after="0" w:before="120" w:line="240"/>
        <w:ind w:firstLine="0"/>
        <w:jc w:val="center"/>
      </w:pPr>
      <w:r>
        <w:drawing>
          <wp:inline distT="0" distB="0" distL="0" distR="0">
            <wp:extent cx="360045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00450" cy="2028825"/>
                    </a:xfrm>
                    <a:prstGeom prst="rect">
                      <a:avLst/>
                    </a:prstGeom>
                  </pic:spPr>
                </pic:pic>
              </a:graphicData>
            </a:graphic>
          </wp:inline>
        </w:drawing>
      </w:r>
    </w:p>
    <w:p>
      <w:pPr>
        <w:spacing w:after="120" w:before="0" w:line="240"/>
        <w:ind w:firstLine="0"/>
        <w:jc w:val="center"/>
      </w:pPr>
      <w:r>
        <w:rPr>
          <w:rFonts w:ascii="Times New Roman" w:cs="Times New Roman" w:eastAsia="Times New Roman" w:hAnsi="Times New Roman"/>
          <w:b/>
          <w:bCs/>
          <w:i w:val="false"/>
          <w:iCs w:val="false"/>
          <w:sz w:val="18"/>
          <w:szCs w:val="18"/>
        </w:rPr>
        <w:t xml:space="preserve">Рис. 3. Радарная диаграмма оценки</w:t>
      </w:r>
    </w:p>
    <w:p>
      <w:pPr>
        <w:spacing w:line="240"/>
      </w:pPr>
    </w:p>
    <w:p>
      <w:pPr>
        <w:spacing w:after="0" w:before="0" w:line="240"/>
        <w:ind w:firstLine="283"/>
        <w:jc w:val="both"/>
      </w:pPr>
      <w:r>
        <w:rPr>
          <w:rFonts w:ascii="Times New Roman" w:cs="Times New Roman" w:eastAsia="Times New Roman" w:hAnsi="Times New Roman"/>
          <w:b w:val="false"/>
          <w:bCs w:val="false"/>
          <w:i w:val="false"/>
          <w:iCs w:val="false"/>
          <w:sz w:val="20"/>
          <w:szCs w:val="20"/>
        </w:rPr>
        <w:t xml:space="preserve">Проведено экспериментальное исследование криптостойкости шести алгоритмов. Результаты подтверждают применимость комплексной методики. Перспективы — расширение на асимметричные алгоритмы и хэш-функции.</w:t>
      </w:r>
    </w:p>
    <w:p>
      <w:pPr>
        <w:spacing w:line="240"/>
      </w:pPr>
    </w:p>
    <w:p>
      <w:pPr>
        <w:spacing w:after="60" w:before="0" w:line="240"/>
        <w:ind w:firstLine="0"/>
        <w:jc w:val="center"/>
      </w:pPr>
      <w:r>
        <w:rPr>
          <w:rFonts w:ascii="Times New Roman" w:cs="Times New Roman" w:eastAsia="Times New Roman" w:hAnsi="Times New Roman"/>
          <w:b/>
          <w:bCs/>
          <w:i w:val="false"/>
          <w:iCs w:val="false"/>
          <w:sz w:val="20"/>
          <w:szCs w:val="20"/>
        </w:rPr>
        <w:t xml:space="preserve">Список литературы</w:t>
      </w:r>
    </w:p>
    <w:p>
      <w:pPr>
        <w:spacing w:line="240"/>
      </w:pP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1. Бабенко, Л.К. Современные алгоритмы блочного шифрования и методы их анализа / Л.К. Бабенко, Е.А. Ищукова. — М.: Гелиос АРВ, 2022. — 376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2. Коржик, В.И. Основы криптографии / В.И. Коржик, В.А. Яковлев. — 4-е изд. — СПб.: ИЦ «Интермедия», 2020. — 312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3. Панасенко, С.П. Алгоритмы шифрования / С.П. Панасенко. — СПб.: БХВ-Петербург, 2019. — 576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4. Шеннон, К. Теория связи в секретных системах / К. Шеннон. — М.: ИЛ, 1963. — С. 333–402.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5. Бабаш, А.В. Криптографические методы защиты информации / А.В. Бабаш, Е.К. Баранова // Вопросы кибербезопасности. — 2021. — № 3(43). — С. 2–12.</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6. NIST SP 800-22 Rev.1a. A Statistical Test Suite for Cryptographic Applications. — NIST, 2010.</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7. Шнайер, Б. Прикладная криптография / Б. Шнайер. — М.: Вильямс, 2023. — 816 с.</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8. ГОСТ Р 34.12-2015. Блочные шифры. — М.: Стандартинформ, 2015.</w:t>
      </w:r>
    </w:p>
    <w:p>
      <w:pPr>
        <w:spacing w:after="30" w:before="0" w:line="240"/>
        <w:ind w:firstLine="0"/>
        <w:jc w:val="both"/>
      </w:pPr>
      <w:r>
        <w:rPr>
          <w:rFonts w:ascii="Times New Roman" w:cs="Times New Roman" w:eastAsia="Times New Roman" w:hAnsi="Times New Roman"/>
          <w:b w:val="false"/>
          <w:bCs w:val="false"/>
          <w:i w:val="false"/>
          <w:iCs w:val="false"/>
          <w:sz w:val="18"/>
          <w:szCs w:val="18"/>
        </w:rPr>
        <w:t xml:space="preserve">9. Молдовян, Н.А. Введение в криптосистемы с открытым ключом / Н.А. Молдовян, А.А. Молдовян. — СПб.: БХВ-Петербург, 2020. — 288 с.</w:t>
      </w:r>
    </w:p>
    <w:sectPr>
      <w:pgSz w:w="8391" w:h="11907" w:orient="portrait"/>
      <w:pgMar w:top="964" w:right="1021" w:bottom="130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f46be058aa082e261559f63b4c94e77a9c436f5.png"/><Relationship Id="rId8" Type="http://schemas.openxmlformats.org/officeDocument/2006/relationships/image" Target="media/05e7667e4f058518fbebedb59ea6c18d8be4602b.png"/><Relationship Id="rId9" Type="http://schemas.openxmlformats.org/officeDocument/2006/relationships/image" Target="media/8e3cde35662b28402f9606d652274d3fcdc57b3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2026-03-31T15:39:57.650Z</dcterms:created>
  <dcterms:modified xsi:type="dcterms:W3CDTF">2026-03-31T15:39:57.650Z</dcterms:modified>
</cp:coreProperties>
</file>

<file path=docProps/custom.xml><?xml version="1.0" encoding="utf-8"?>
<Properties xmlns="http://schemas.openxmlformats.org/officeDocument/2006/custom-properties" xmlns:vt="http://schemas.openxmlformats.org/officeDocument/2006/docPropsVTypes"/>
</file>