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ГРНТИ 20.01.04</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УДК 004.056.55</w:t>
      </w:r>
    </w:p>
    <w:p>
      <w:pPr>
        <w:spacing w:after="0" w:before="0" w:line="240"/>
        <w:ind w:firstLine="0"/>
        <w:jc w:val="center"/>
      </w:pPr>
      <w:r>
        <w:rPr>
          <w:rFonts w:ascii="Times New Roman" w:cs="Times New Roman" w:eastAsia="Times New Roman" w:hAnsi="Times New Roman"/>
          <w:b w:val="false"/>
          <w:bCs w:val="false"/>
          <w:i/>
          <w:iCs/>
          <w:sz w:val="20"/>
          <w:szCs w:val="20"/>
        </w:rPr>
        <w:t xml:space="preserve">К.В. Дергачев, кандидат технических наук, доцент</w:t>
      </w:r>
    </w:p>
    <w:p>
      <w:pPr>
        <w:spacing w:after="0" w:before="0" w:line="240"/>
        <w:ind w:firstLine="0"/>
        <w:jc w:val="center"/>
      </w:pPr>
      <w:r>
        <w:rPr>
          <w:rFonts w:ascii="Times New Roman" w:cs="Times New Roman" w:eastAsia="Times New Roman" w:hAnsi="Times New Roman"/>
          <w:b w:val="false"/>
          <w:bCs w:val="false"/>
          <w:i/>
          <w:iCs/>
          <w:sz w:val="20"/>
          <w:szCs w:val="20"/>
        </w:rPr>
        <w:t xml:space="preserve">Р.И. Курский, магистрант</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кафедра «Информатика и программное обеспечение»</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Брянский государственный технический университет</w:t>
      </w:r>
    </w:p>
    <w:p>
      <w:pPr>
        <w:spacing w:line="240"/>
      </w:pPr>
    </w:p>
    <w:p>
      <w:pPr>
        <w:spacing w:after="0" w:before="0" w:line="240"/>
        <w:ind w:firstLine="0"/>
        <w:jc w:val="center"/>
      </w:pPr>
      <w:r>
        <w:rPr>
          <w:rFonts w:ascii="Times New Roman" w:cs="Times New Roman" w:eastAsia="Times New Roman" w:hAnsi="Times New Roman"/>
          <w:b w:val="false"/>
          <w:bCs w:val="false"/>
          <w:i/>
          <w:iCs/>
          <w:sz w:val="20"/>
          <w:szCs w:val="20"/>
        </w:rPr>
        <w:t xml:space="preserve">K.V. Dergachev, PhD in Engineering, Associate Professor</w:t>
      </w:r>
    </w:p>
    <w:p>
      <w:pPr>
        <w:spacing w:after="0" w:before="0" w:line="240"/>
        <w:ind w:firstLine="0"/>
        <w:jc w:val="center"/>
      </w:pPr>
      <w:r>
        <w:rPr>
          <w:rFonts w:ascii="Times New Roman" w:cs="Times New Roman" w:eastAsia="Times New Roman" w:hAnsi="Times New Roman"/>
          <w:b w:val="false"/>
          <w:bCs w:val="false"/>
          <w:i/>
          <w:iCs/>
          <w:sz w:val="20"/>
          <w:szCs w:val="20"/>
        </w:rPr>
        <w:t xml:space="preserve">R.I. Kurskiy, Master's Degree Student</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Department of Computer Science and Software Engineering</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Bryansk State Technical University</w:t>
      </w:r>
    </w:p>
    <w:p>
      <w:pPr>
        <w:spacing w:line="240"/>
      </w:pPr>
    </w:p>
    <w:p>
      <w:pPr>
        <w:spacing w:after="0" w:before="0" w:line="240"/>
        <w:ind w:firstLine="0"/>
        <w:jc w:val="center"/>
      </w:pPr>
      <w:r>
        <w:rPr>
          <w:rFonts w:ascii="Times New Roman" w:cs="Times New Roman" w:eastAsia="Times New Roman" w:hAnsi="Times New Roman"/>
          <w:b/>
          <w:bCs/>
          <w:i w:val="false"/>
          <w:iCs w:val="false"/>
          <w:sz w:val="20"/>
          <w:szCs w:val="20"/>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0"/>
          <w:szCs w:val="20"/>
        </w:rPr>
        <w:t xml:space="preserve">Evaluation of cryptographic strength of symmetric ciphers by methods of statistical and entropy analysis</w:t>
      </w:r>
    </w:p>
    <w:p>
      <w:pPr>
        <w:spacing w:line="240"/>
      </w:pPr>
    </w:p>
    <w:p>
      <w:pPr>
        <w:spacing w:after="0" w:before="0" w:line="240"/>
        <w:ind w:firstLine="0"/>
        <w:jc w:val="both"/>
      </w:pPr>
      <w:r>
        <w:rPr>
          <w:rFonts w:ascii="Times New Roman" w:cs="Times New Roman" w:eastAsia="Times New Roman" w:hAnsi="Times New Roman"/>
          <w:b w:val="false"/>
          <w:bCs w:val="false"/>
          <w:i w:val="false"/>
          <w:iCs w:val="false"/>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Blowfish, ChaCha20 и ГОСТ 28147-89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(AES-128, ChaCha20) демонстрируют наивысшую криптостойкость по всем критериям.</w:t>
      </w:r>
    </w:p>
    <w:p>
      <w:pPr>
        <w:spacing w:line="240"/>
      </w:pPr>
    </w:p>
    <w:p>
      <w:pPr>
        <w:spacing w:after="0" w:before="0" w:line="240"/>
        <w:ind w:firstLine="0"/>
        <w:jc w:val="both"/>
      </w:pPr>
      <w:r>
        <w:rPr>
          <w:rFonts w:ascii="Times New Roman" w:cs="Times New Roman" w:eastAsia="Times New Roman" w:hAnsi="Times New Roman"/>
          <w:b w:val="false"/>
          <w:bCs w:val="false"/>
          <w:i w:val="false"/>
          <w:iCs w:val="false"/>
          <w:sz w:val="20"/>
          <w:szCs w:val="20"/>
        </w:rPr>
        <w:t xml:space="preserve">The results of an experimental study of the cryptographic strength of six symmetric encryption algorithms are presented: AES-128, DES, 3DES, Blowfish, ChaCha20, and GOST 28147-89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(AES-128, ChaCha20) demonstrate the highest cryptographic strength across all criteria.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В эксперименте использовались шесть алгоритмов симметричного шифрования (таблица 1).</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1</w:t>
      </w:r>
      <w:r>
        <w:rPr>
          <w:rFonts w:ascii="Times New Roman" w:cs="Times New Roman" w:eastAsia="Times New Roman" w:hAnsi="Times New Roman"/>
          <w:sz w:val="18"/>
          <w:szCs w:val="18"/>
        </w:rPr>
        <w:t xml:space="preserve">. Характеристики исследуемых алгоритмов</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224"/>
        <w:gridCol w:w="1224"/>
        <w:gridCol w:w="1224"/>
        <w:gridCol w:w="1224"/>
        <w:gridCol w:w="1224"/>
      </w:tblGrid>
      <w:tr>
        <w:trPr>
          <w:tblHeader/>
        </w:trP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Тип</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Ключ, бит</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Блок, бит</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Год</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SPN</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2001</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1977</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168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1998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1993</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Потоковый</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2008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1989</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Для каждого алгоритма шифрование выполнялось на четырёх типах входных данных: текст (ASCII), случайные байты, паттерны (0xAA) и нулевые блоки (0x00). Размер тестовых блоков — 100 КБ. Режим — CBC [3].</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Оценка осуществлялась по четырём критериям: H(X), D_KL, r(X, Y) и лавинный эффект. Интегральная оценка [4]:</w:t>
      </w:r>
    </w:p>
    <w:p>
      <w:pPr>
        <w:spacing w:after="60" w:before="60" w:line="240"/>
        <w:ind w:firstLine="0"/>
        <w:jc w:val="center"/>
      </w:pPr>
      <w:r>
        <w:rPr>
          <w:rFonts w:ascii="Times New Roman" w:cs="Times New Roman" w:eastAsia="Times New Roman" w:hAnsi="Times New Roman"/>
          <w:b w:val="false"/>
          <w:bCs w:val="false"/>
          <w:i w:val="false"/>
          <w:iCs w:val="false"/>
          <w:sz w:val="20"/>
          <w:szCs w:val="20"/>
        </w:rPr>
        <w:t xml:space="preserve">S = (s_H + s_KL + s_corr + s_aval) / 4.</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Результаты энтропийного анализа представлены в таблице 2.</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2</w:t>
      </w:r>
      <w:r>
        <w:rPr>
          <w:rFonts w:ascii="Times New Roman" w:cs="Times New Roman" w:eastAsia="Times New Roman" w:hAnsi="Times New Roman"/>
          <w:sz w:val="18"/>
          <w:szCs w:val="18"/>
        </w:rPr>
        <w:t xml:space="preserve">. Результаты энтропийного анализа</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530"/>
        <w:gridCol w:w="1530"/>
        <w:gridCol w:w="1530"/>
        <w:gridCol w:w="1530"/>
      </w:tblGrid>
      <w:tr>
        <w:trPr>
          <w:tblHeader/>
        </w:trP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H(X)</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D_KL</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s_H</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7,9993</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0,00018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7,9951</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0,00147</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0,9994</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7,9974</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0,00072</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7,9989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0,00029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7,9996</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0,00011</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1,0000</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7,9985</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0,00038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ChaCha20 и AES-128 показывают наименьшие значения KL-дивергенции, DES — наибольшее отклонение (D_KL = 0,00147), что объясняется меньшим размером блока (64 бит) [5].</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1. Энтропийный анализ алгоритмов</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3</w:t>
      </w:r>
      <w:r>
        <w:rPr>
          <w:rFonts w:ascii="Times New Roman" w:cs="Times New Roman" w:eastAsia="Times New Roman" w:hAnsi="Times New Roman"/>
          <w:sz w:val="18"/>
          <w:szCs w:val="18"/>
        </w:rPr>
        <w:t xml:space="preserve">. Статистический анализ и лавинный эффект</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224"/>
        <w:gridCol w:w="1224"/>
        <w:gridCol w:w="1224"/>
        <w:gridCol w:w="1224"/>
        <w:gridCol w:w="1224"/>
      </w:tblGrid>
      <w:tr>
        <w:trPr>
          <w:tblHeader/>
        </w:trP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χ² p-value</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r(X,Y)</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Лав. эфф., %</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s_stat</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0,482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0,107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49,61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0,9912</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0,314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0,0041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49,87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0,9968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0,421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0,517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0,389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0,0023</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49,93</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Все алгоритмы проходят тест χ² (p &gt; 0,05). DES показывает наименьшее p-value (0,107) и наибольшую корреляцию (0,0089) [6].</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2. Лавинный эффект</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4</w:t>
      </w:r>
      <w:r>
        <w:rPr>
          <w:rFonts w:ascii="Times New Roman" w:cs="Times New Roman" w:eastAsia="Times New Roman" w:hAnsi="Times New Roman"/>
          <w:sz w:val="18"/>
          <w:szCs w:val="18"/>
        </w:rPr>
        <w:t xml:space="preserve">. Итоговый рейтинг</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874"/>
        <w:gridCol w:w="874"/>
        <w:gridCol w:w="874"/>
        <w:gridCol w:w="874"/>
        <w:gridCol w:w="874"/>
        <w:gridCol w:w="874"/>
        <w:gridCol w:w="874"/>
      </w:tblGrid>
      <w:tr>
        <w:trPr>
          <w:tblHeader/>
        </w:trP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s_H</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s_KL</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s_stat</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s_aval</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1,0000</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0,9993</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0,9968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0,9974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0,9983</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0,9912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0,9922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0,9953</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ChaCha20 и AES-128 лидируют (S &gt; 0,999). Blowfish на уровне AES-128 благодаря архитектуре с ключезависимыми S-блоками [7]. DES — последний из-за малого ключа и блока [5].</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3. Радарная диаграмма оценки</w:t>
      </w:r>
    </w:p>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Проведено экспериментальное исследование криптостойкости шести алгоритмов. Результаты подтверждают применимость комплексной методики. Перспективы — расширение на асимметричные алгоритмы и хэш-функции.</w:t>
      </w:r>
    </w:p>
    <w:p>
      <w:pPr>
        <w:spacing w:line="240"/>
      </w:pPr>
    </w:p>
    <w:p>
      <w:pPr>
        <w:spacing w:after="60" w:before="0" w:line="240"/>
        <w:ind w:firstLine="0"/>
        <w:jc w:val="center"/>
      </w:pPr>
      <w:r>
        <w:rPr>
          <w:rFonts w:ascii="Times New Roman" w:cs="Times New Roman" w:eastAsia="Times New Roman" w:hAnsi="Times New Roman"/>
          <w:b/>
          <w:bCs/>
          <w:i w:val="false"/>
          <w:iCs w:val="false"/>
          <w:sz w:val="20"/>
          <w:szCs w:val="20"/>
        </w:rPr>
        <w:t xml:space="preserve">Список литературы</w:t>
      </w:r>
    </w:p>
    <w:p>
      <w:pPr>
        <w:spacing w:line="240"/>
      </w:pP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1. Бабенко, Л.К. Современные алгоритмы блочного шифрования и методы их анализа / Л.К. Бабенко, Е.А. Ищукова. — М.: Гелиос АРВ, 2022. — 376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2. Коржик, В.И. Основы криптографии / В.И. Коржик, В.А. Яковлев. — 4-е изд. — СПб.: ИЦ «Интермедия», 2020. — 312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3. Панасенко, С.П. Алгоритмы шифрования / С.П. Панасенко. — СПб.: БХВ-Петербург, 2019. — 576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4. Шеннон, К. Теория связи в секретных системах / К. Шеннон. — М.: ИЛ, 1963. — С. 333–402.</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5. Бабаш, А.В. Криптографические методы защиты информации / А.В. Бабаш, Е.К. Баранова // Вопросы кибербезопасности. — 2021. — № 3(43). — С. 2–12.</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6. NIST SP 800-22 Rev.1a. A Statistical Test Suite for Cryptographic Applications. — NIST, 2010.</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7. Шнайер, Б. Прикладная криптография / Б. Шнайер. — М.: Вильямс, 2023. — 816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8. ГОСТ Р 34.12-2015. Блочные шифры. — М.: Стандартинформ, 2015.</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9. Молдовян, Н.А. Введение в криптосистемы с открытым ключом / Н.А. Молдовян, А.А. Молдовян. — СПб.: БХВ-Петербург, 2020. — 288 с.</w:t>
      </w:r>
    </w:p>
    <w:sectPr>
      <w:pgSz w:w="8391" w:h="11907" w:orient="portrait"/>
      <w:pgMar w:top="964" w:right="1021" w:bottom="130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2026-03-31T17:56:05.005Z</dcterms:created>
  <dcterms:modified xsi:type="dcterms:W3CDTF">2026-03-31T17:56:05.006Z</dcterms:modified>
</cp:coreProperties>
</file>

<file path=docProps/custom.xml><?xml version="1.0" encoding="utf-8"?>
<Properties xmlns="http://schemas.openxmlformats.org/officeDocument/2006/custom-properties" xmlns:vt="http://schemas.openxmlformats.org/officeDocument/2006/docPropsVTypes"/>
</file>